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Subcontract Agreement</w:t>
      </w:r>
    </w:p>
    <w:p>
      <w:pPr>
        <w:pStyle w:val="Subtitle"/>
      </w:pPr>
      <w:r>
        <w:t>${contract_name}</w:t>
      </w:r>
    </w:p>
    <w:tbl>
      <w:tblPr>
        <w:tblStyle w:val="TableGrid"/>
        <w:tblW w:type="auto" w:w="0"/>
        <w:jc w:val="left"/>
        <w:tblLayout w:type="fixed"/>
        <w:tblLook w:firstColumn="1" w:firstRow="1" w:lastColumn="0" w:lastRow="0" w:noHBand="0" w:noVBand="1" w:val="04A0"/>
      </w:tblPr>
      <w:tblGrid>
        <w:gridCol w:w="2835"/>
        <w:gridCol w:w="6236"/>
      </w:tblGrid>
      <w:tr>
        <w:trPr>
          <w:cantSplit/>
        </w:trPr>
        <w:tc>
          <w:tcPr>
            <w:tcW w:type="dxa" w:w="2835"/>
          </w:tcPr>
          <w:p>
            <w:pPr>
              <w:pStyle w:val="TableLabel"/>
              <w:keepNext/>
            </w:pPr>
            <w:r>
              <w:t>Subcontract number</w:t>
            </w:r>
          </w:p>
        </w:tc>
        <w:tc>
          <w:tcPr>
            <w:tcW w:type="dxa" w:w="6236"/>
          </w:tcPr>
          <w:p>
            <w:pPr>
              <w:pStyle w:val="TableText"/>
              <w:keepNext/>
            </w:pPr>
            <w:r>
              <w:t>${sc_number}</w:t>
            </w:r>
          </w:p>
        </w:tc>
      </w:tr>
      <w:tr>
        <w:trPr>
          <w:cantSplit/>
        </w:trPr>
        <w:tc>
          <w:tcPr>
            <w:tcW w:type="dxa" w:w="2835"/>
          </w:tcPr>
          <w:p>
            <w:pPr>
              <w:pStyle w:val="TableLabel"/>
              <w:keepNext/>
            </w:pPr>
            <w:r>
              <w:t>Project</w:t>
            </w:r>
          </w:p>
        </w:tc>
        <w:tc>
          <w:tcPr>
            <w:tcW w:type="dxa" w:w="6236"/>
          </w:tcPr>
          <w:p>
            <w:pPr>
              <w:pStyle w:val="TableText"/>
              <w:keepNext/>
            </w:pPr>
            <w:r>
              <w:t>${project_name}</w:t>
            </w:r>
          </w:p>
        </w:tc>
      </w:tr>
      <w:tr>
        <w:trPr>
          <w:cantSplit/>
        </w:trPr>
        <w:tc>
          <w:tcPr>
            <w:tcW w:type="dxa" w:w="2835"/>
          </w:tcPr>
          <w:p>
            <w:pPr>
              <w:pStyle w:val="TableLabel"/>
              <w:keepNext/>
            </w:pPr>
            <w:r>
              <w:t>Contractor</w:t>
            </w:r>
          </w:p>
        </w:tc>
        <w:tc>
          <w:tcPr>
            <w:tcW w:type="dxa" w:w="6236"/>
          </w:tcPr>
          <w:p>
            <w:pPr>
              <w:pStyle w:val="TableText"/>
              <w:keepNext/>
            </w:pPr>
            <w:r>
              <w:t>${contractor_name}</w:t>
            </w:r>
          </w:p>
        </w:tc>
      </w:tr>
      <w:tr>
        <w:trPr>
          <w:cantSplit/>
        </w:trPr>
        <w:tc>
          <w:tcPr>
            <w:tcW w:type="dxa" w:w="2835"/>
          </w:tcPr>
          <w:p>
            <w:pPr>
              <w:pStyle w:val="TableLabel"/>
              <w:keepNext/>
            </w:pPr>
            <w:r>
              <w:t>Subcontractor</w:t>
            </w:r>
          </w:p>
        </w:tc>
        <w:tc>
          <w:tcPr>
            <w:tcW w:type="dxa" w:w="6236"/>
          </w:tcPr>
          <w:p>
            <w:pPr>
              <w:pStyle w:val="TableText"/>
              <w:keepNext/>
            </w:pPr>
            <w:r>
              <w:t>${subcontractor_name}</w:t>
            </w:r>
          </w:p>
        </w:tc>
      </w:tr>
      <w:tr>
        <w:trPr>
          <w:cantSplit/>
        </w:trPr>
        <w:tc>
          <w:tcPr>
            <w:tcW w:type="dxa" w:w="2835"/>
          </w:tcPr>
          <w:p>
            <w:pPr>
              <w:pStyle w:val="TableLabel"/>
            </w:pPr>
            <w:r>
              <w:t>Subcontract Sum</w:t>
            </w:r>
          </w:p>
        </w:tc>
        <w:tc>
          <w:tcPr>
            <w:tcW w:type="dxa" w:w="6236"/>
          </w:tcPr>
          <w:p>
            <w:pPr>
              <w:pStyle w:val="TableText"/>
            </w:pPr>
            <w:r>
              <w:t>${subcontract_sum} (excluding GST)</w:t>
            </w:r>
          </w:p>
        </w:tc>
      </w:tr>
    </w:tbl>
    <w:p>
      <w:pPr>
        <w:pStyle w:val="GuidanceNote"/>
      </w:pPr>
      <w:bookmarkStart w:id="100" w:name="DS_PART_guidance_note"/>
      <w:r>
        <w:t>Worked example. This subcontract is a sample from Deep Space, provided to show how a Word master works with Contract Templates and to give you a starting point. Its wording is illustrative only and has not been reviewed for any particular project, State or Territory. Before you use it on a live project, have your legal adviser review it, then edit the Word master and the Contract Template to suit. To leave this note out of a contract, untick “Sample guidance note” in Parts.</w:t>
      </w:r>
      <w:bookmarkEnd w:id="100"/>
    </w:p>
    <w:p>
      <w:pPr>
        <w:pStyle w:val="ContentsHeading"/>
      </w:pPr>
      <w:r>
        <w:t>Contents</w:t>
      </w:r>
    </w:p>
    <w:p>
      <w:pPr>
        <w:pStyle w:val="TOC1"/>
      </w:pPr>
      <w:r>
        <w:fldChar w:fldCharType="begin"/>
      </w:r>
      <w:r>
        <w:instrText xml:space="preserve"> TOC \o "1-2" \h \z \u </w:instrText>
      </w:r>
      <w:r>
        <w:fldChar w:fldCharType="separate"/>
      </w:r>
      <w:hyperlink w:anchor="_Toc900001" w:history="1">
        <w:r>
          <w:t xml:space="preserve">Part 1 – Agreement</w:t>
        </w:r>
        <w:r>
          <w:tab/>
        </w:r>
        <w:r>
          <w:fldChar w:fldCharType="begin"/>
        </w:r>
        <w:r>
          <w:instrText xml:space="preserve"> PAGEREF _Toc900001 \h </w:instrText>
        </w:r>
        <w:r>
          <w:fldChar w:fldCharType="separate"/>
        </w:r>
        <w:r>
          <w:t xml:space="preserve">3</w:t>
        </w:r>
        <w:r>
          <w:fldChar w:fldCharType="end"/>
        </w:r>
      </w:hyperlink>
    </w:p>
    <w:p>
      <w:pPr>
        <w:pStyle w:val="TOC1"/>
      </w:pPr>
      <w:bookmarkStart w:id="157" w:name="DS_TOC_special_conditions"/>
      <w:hyperlink w:anchor="_Toc900002" w:history="1">
        <w:r>
          <w:t xml:space="preserve">Part 2 – Special Conditions</w:t>
        </w:r>
        <w:r>
          <w:tab/>
        </w:r>
        <w:r>
          <w:fldChar w:fldCharType="begin"/>
        </w:r>
        <w:r>
          <w:instrText xml:space="preserve"> PAGEREF _Toc900002 \h </w:instrText>
        </w:r>
        <w:r>
          <w:fldChar w:fldCharType="separate"/>
        </w:r>
        <w:r>
          <w:t xml:space="preserve">5</w:t>
        </w:r>
        <w:r>
          <w:fldChar w:fldCharType="end"/>
        </w:r>
      </w:hyperlink>
      <w:bookmarkEnd w:id="157"/>
    </w:p>
    <w:p>
      <w:pPr>
        <w:pStyle w:val="TOC1"/>
      </w:pPr>
      <w:hyperlink w:anchor="_Toc900003" w:history="1">
        <w:r>
          <w:t xml:space="preserve">Part 3 – Subcontract Particulars</w:t>
        </w:r>
        <w:r>
          <w:tab/>
        </w:r>
        <w:r>
          <w:fldChar w:fldCharType="begin"/>
        </w:r>
        <w:r>
          <w:instrText xml:space="preserve"> PAGEREF _Toc900003 \h </w:instrText>
        </w:r>
        <w:r>
          <w:fldChar w:fldCharType="separate"/>
        </w:r>
        <w:r>
          <w:t xml:space="preserve">6</w:t>
        </w:r>
        <w:r>
          <w:fldChar w:fldCharType="end"/>
        </w:r>
      </w:hyperlink>
    </w:p>
    <w:p>
      <w:pPr>
        <w:pStyle w:val="TOC1"/>
      </w:pPr>
      <w:hyperlink w:anchor="_Toc900004" w:history="1">
        <w:r>
          <w:t xml:space="preserve">Part 4 – General Conditions</w:t>
        </w:r>
        <w:r>
          <w:tab/>
        </w:r>
        <w:r>
          <w:fldChar w:fldCharType="begin"/>
        </w:r>
        <w:r>
          <w:instrText xml:space="preserve"> PAGEREF _Toc900004 \h </w:instrText>
        </w:r>
        <w:r>
          <w:fldChar w:fldCharType="separate"/>
        </w:r>
        <w:r>
          <w:t xml:space="preserve">9</w:t>
        </w:r>
        <w:r>
          <w:fldChar w:fldCharType="end"/>
        </w:r>
      </w:hyperlink>
    </w:p>
    <w:p>
      <w:pPr>
        <w:pStyle w:val="TOC2"/>
      </w:pPr>
      <w:hyperlink w:anchor="_Toc900005" w:history="1">
        <w:r>
          <w:t xml:space="preserve">1.</w:t>
        </w:r>
        <w:r>
          <w:tab/>
        </w:r>
        <w:r>
          <w:t xml:space="preserve">Definitions and interpretation</w:t>
        </w:r>
        <w:r>
          <w:tab/>
        </w:r>
        <w:r>
          <w:fldChar w:fldCharType="begin"/>
        </w:r>
        <w:r>
          <w:instrText xml:space="preserve"> PAGEREF _Toc900005 \h </w:instrText>
        </w:r>
        <w:r>
          <w:fldChar w:fldCharType="separate"/>
        </w:r>
        <w:r>
          <w:t xml:space="preserve">9</w:t>
        </w:r>
        <w:r>
          <w:fldChar w:fldCharType="end"/>
        </w:r>
      </w:hyperlink>
    </w:p>
    <w:p>
      <w:pPr>
        <w:pStyle w:val="TOC2"/>
      </w:pPr>
      <w:hyperlink w:anchor="_Toc900006" w:history="1">
        <w:r>
          <w:t xml:space="preserve">2.</w:t>
        </w:r>
        <w:r>
          <w:tab/>
        </w:r>
        <w:r>
          <w:t xml:space="preserve">Engagement and scope</w:t>
        </w:r>
        <w:r>
          <w:tab/>
        </w:r>
        <w:r>
          <w:fldChar w:fldCharType="begin"/>
        </w:r>
        <w:r>
          <w:instrText xml:space="preserve"> PAGEREF _Toc900006 \h </w:instrText>
        </w:r>
        <w:r>
          <w:fldChar w:fldCharType="separate"/>
        </w:r>
        <w:r>
          <w:t xml:space="preserve">9</w:t>
        </w:r>
        <w:r>
          <w:fldChar w:fldCharType="end"/>
        </w:r>
      </w:hyperlink>
    </w:p>
    <w:p>
      <w:pPr>
        <w:pStyle w:val="TOC2"/>
      </w:pPr>
      <w:hyperlink w:anchor="_Toc900007" w:history="1">
        <w:r>
          <w:t xml:space="preserve">3.</w:t>
        </w:r>
        <w:r>
          <w:tab/>
        </w:r>
        <w:r>
          <w:t xml:space="preserve">Representatives and directions</w:t>
        </w:r>
        <w:r>
          <w:tab/>
        </w:r>
        <w:r>
          <w:fldChar w:fldCharType="begin"/>
        </w:r>
        <w:r>
          <w:instrText xml:space="preserve"> PAGEREF _Toc900007 \h </w:instrText>
        </w:r>
        <w:r>
          <w:fldChar w:fldCharType="separate"/>
        </w:r>
        <w:r>
          <w:t xml:space="preserve">9</w:t>
        </w:r>
        <w:r>
          <w:fldChar w:fldCharType="end"/>
        </w:r>
      </w:hyperlink>
    </w:p>
    <w:p>
      <w:pPr>
        <w:pStyle w:val="TOC2"/>
      </w:pPr>
      <w:hyperlink w:anchor="_Toc900008" w:history="1">
        <w:r>
          <w:t xml:space="preserve">4.</w:t>
        </w:r>
        <w:r>
          <w:tab/>
        </w:r>
        <w:r>
          <w:t xml:space="preserve">Documents</w:t>
        </w:r>
        <w:r>
          <w:tab/>
        </w:r>
        <w:r>
          <w:fldChar w:fldCharType="begin"/>
        </w:r>
        <w:r>
          <w:instrText xml:space="preserve"> PAGEREF _Toc900008 \h </w:instrText>
        </w:r>
        <w:r>
          <w:fldChar w:fldCharType="separate"/>
        </w:r>
        <w:r>
          <w:t xml:space="preserve">10</w:t>
        </w:r>
        <w:r>
          <w:fldChar w:fldCharType="end"/>
        </w:r>
      </w:hyperlink>
    </w:p>
    <w:p>
      <w:pPr>
        <w:pStyle w:val="TOC2"/>
      </w:pPr>
      <w:hyperlink w:anchor="_Toc900009" w:history="1">
        <w:r>
          <w:t xml:space="preserve">5.</w:t>
        </w:r>
        <w:r>
          <w:tab/>
        </w:r>
        <w:r>
          <w:t xml:space="preserve">Design</w:t>
        </w:r>
        <w:r>
          <w:tab/>
        </w:r>
        <w:r>
          <w:fldChar w:fldCharType="begin"/>
        </w:r>
        <w:r>
          <w:instrText xml:space="preserve"> PAGEREF _Toc900009 \h </w:instrText>
        </w:r>
        <w:r>
          <w:fldChar w:fldCharType="separate"/>
        </w:r>
        <w:r>
          <w:t xml:space="preserve">10</w:t>
        </w:r>
        <w:r>
          <w:fldChar w:fldCharType="end"/>
        </w:r>
      </w:hyperlink>
    </w:p>
    <w:p>
      <w:pPr>
        <w:pStyle w:val="TOC2"/>
      </w:pPr>
      <w:hyperlink w:anchor="_Toc900010" w:history="1">
        <w:r>
          <w:t xml:space="preserve">6.</w:t>
        </w:r>
        <w:r>
          <w:tab/>
        </w:r>
        <w:r>
          <w:t xml:space="preserve">Security</w:t>
        </w:r>
        <w:r>
          <w:tab/>
        </w:r>
        <w:r>
          <w:fldChar w:fldCharType="begin"/>
        </w:r>
        <w:r>
          <w:instrText xml:space="preserve"> PAGEREF _Toc900010 \h </w:instrText>
        </w:r>
        <w:r>
          <w:fldChar w:fldCharType="separate"/>
        </w:r>
        <w:r>
          <w:t xml:space="preserve">10</w:t>
        </w:r>
        <w:r>
          <w:fldChar w:fldCharType="end"/>
        </w:r>
      </w:hyperlink>
    </w:p>
    <w:p>
      <w:pPr>
        <w:pStyle w:val="TOC2"/>
      </w:pPr>
      <w:hyperlink w:anchor="_Toc900011" w:history="1">
        <w:r>
          <w:t xml:space="preserve">7.</w:t>
        </w:r>
        <w:r>
          <w:tab/>
        </w:r>
        <w:r>
          <w:t xml:space="preserve">Insurance</w:t>
        </w:r>
        <w:r>
          <w:tab/>
        </w:r>
        <w:r>
          <w:fldChar w:fldCharType="begin"/>
        </w:r>
        <w:r>
          <w:instrText xml:space="preserve"> PAGEREF _Toc900011 \h </w:instrText>
        </w:r>
        <w:r>
          <w:fldChar w:fldCharType="separate"/>
        </w:r>
        <w:r>
          <w:t xml:space="preserve">10</w:t>
        </w:r>
        <w:r>
          <w:fldChar w:fldCharType="end"/>
        </w:r>
      </w:hyperlink>
    </w:p>
    <w:p>
      <w:pPr>
        <w:pStyle w:val="TOC2"/>
      </w:pPr>
      <w:hyperlink w:anchor="_Toc900012" w:history="1">
        <w:r>
          <w:t xml:space="preserve">8.</w:t>
        </w:r>
        <w:r>
          <w:tab/>
        </w:r>
        <w:r>
          <w:t xml:space="preserve">Work health and safety and the Site</w:t>
        </w:r>
        <w:r>
          <w:tab/>
        </w:r>
        <w:r>
          <w:fldChar w:fldCharType="begin"/>
        </w:r>
        <w:r>
          <w:instrText xml:space="preserve"> PAGEREF _Toc900012 \h </w:instrText>
        </w:r>
        <w:r>
          <w:fldChar w:fldCharType="separate"/>
        </w:r>
        <w:r>
          <w:t xml:space="preserve">10</w:t>
        </w:r>
        <w:r>
          <w:fldChar w:fldCharType="end"/>
        </w:r>
      </w:hyperlink>
    </w:p>
    <w:p>
      <w:pPr>
        <w:pStyle w:val="TOC2"/>
      </w:pPr>
      <w:hyperlink w:anchor="_Toc900013" w:history="1">
        <w:r>
          <w:t xml:space="preserve">9.</w:t>
        </w:r>
        <w:r>
          <w:tab/>
        </w:r>
        <w:r>
          <w:t xml:space="preserve">Personnel</w:t>
        </w:r>
        <w:r>
          <w:tab/>
        </w:r>
        <w:r>
          <w:fldChar w:fldCharType="begin"/>
        </w:r>
        <w:r>
          <w:instrText xml:space="preserve"> PAGEREF _Toc900013 \h </w:instrText>
        </w:r>
        <w:r>
          <w:fldChar w:fldCharType="separate"/>
        </w:r>
        <w:r>
          <w:t xml:space="preserve">11</w:t>
        </w:r>
        <w:r>
          <w:fldChar w:fldCharType="end"/>
        </w:r>
      </w:hyperlink>
    </w:p>
    <w:p>
      <w:pPr>
        <w:pStyle w:val="TOC2"/>
      </w:pPr>
      <w:hyperlink w:anchor="_Toc900014" w:history="1">
        <w:r>
          <w:t xml:space="preserve">10.</w:t>
        </w:r>
        <w:r>
          <w:tab/>
        </w:r>
        <w:r>
          <w:t xml:space="preserve">Assignment and subcontracting</w:t>
        </w:r>
        <w:r>
          <w:tab/>
        </w:r>
        <w:r>
          <w:fldChar w:fldCharType="begin"/>
        </w:r>
        <w:r>
          <w:instrText xml:space="preserve"> PAGEREF _Toc900014 \h </w:instrText>
        </w:r>
        <w:r>
          <w:fldChar w:fldCharType="separate"/>
        </w:r>
        <w:r>
          <w:t xml:space="preserve">11</w:t>
        </w:r>
        <w:r>
          <w:fldChar w:fldCharType="end"/>
        </w:r>
      </w:hyperlink>
    </w:p>
    <w:p>
      <w:pPr>
        <w:pStyle w:val="TOC2"/>
      </w:pPr>
      <w:hyperlink w:anchor="_Toc900015" w:history="1">
        <w:r>
          <w:t xml:space="preserve">11.</w:t>
        </w:r>
        <w:r>
          <w:tab/>
        </w:r>
        <w:r>
          <w:t xml:space="preserve">Program and progress</w:t>
        </w:r>
        <w:r>
          <w:tab/>
        </w:r>
        <w:r>
          <w:fldChar w:fldCharType="begin"/>
        </w:r>
        <w:r>
          <w:instrText xml:space="preserve"> PAGEREF _Toc900015 \h </w:instrText>
        </w:r>
        <w:r>
          <w:fldChar w:fldCharType="separate"/>
        </w:r>
        <w:r>
          <w:t xml:space="preserve">11</w:t>
        </w:r>
        <w:r>
          <w:fldChar w:fldCharType="end"/>
        </w:r>
      </w:hyperlink>
    </w:p>
    <w:p>
      <w:pPr>
        <w:pStyle w:val="TOC2"/>
      </w:pPr>
      <w:hyperlink w:anchor="_Toc900016" w:history="1">
        <w:r>
          <w:t xml:space="preserve">12.</w:t>
        </w:r>
        <w:r>
          <w:tab/>
        </w:r>
        <w:r>
          <w:t xml:space="preserve">Delay and extension of time</w:t>
        </w:r>
        <w:r>
          <w:tab/>
        </w:r>
        <w:r>
          <w:fldChar w:fldCharType="begin"/>
        </w:r>
        <w:r>
          <w:instrText xml:space="preserve"> PAGEREF _Toc900016 \h </w:instrText>
        </w:r>
        <w:r>
          <w:fldChar w:fldCharType="separate"/>
        </w:r>
        <w:r>
          <w:t xml:space="preserve">11</w:t>
        </w:r>
        <w:r>
          <w:fldChar w:fldCharType="end"/>
        </w:r>
      </w:hyperlink>
    </w:p>
    <w:p>
      <w:pPr>
        <w:pStyle w:val="TOC2"/>
      </w:pPr>
      <w:hyperlink w:anchor="_Toc900017" w:history="1">
        <w:r>
          <w:t xml:space="preserve">13.</w:t>
        </w:r>
        <w:r>
          <w:tab/>
        </w:r>
        <w:r>
          <w:t xml:space="preserve">Liquidated damages</w:t>
        </w:r>
        <w:r>
          <w:tab/>
        </w:r>
        <w:r>
          <w:fldChar w:fldCharType="begin"/>
        </w:r>
        <w:r>
          <w:instrText xml:space="preserve"> PAGEREF _Toc900017 \h </w:instrText>
        </w:r>
        <w:r>
          <w:fldChar w:fldCharType="separate"/>
        </w:r>
        <w:r>
          <w:t xml:space="preserve">11</w:t>
        </w:r>
        <w:r>
          <w:fldChar w:fldCharType="end"/>
        </w:r>
      </w:hyperlink>
    </w:p>
    <w:p>
      <w:pPr>
        <w:pStyle w:val="TOC2"/>
      </w:pPr>
      <w:hyperlink w:anchor="_Toc900018" w:history="1">
        <w:r>
          <w:t xml:space="preserve">14.</w:t>
        </w:r>
        <w:r>
          <w:tab/>
        </w:r>
        <w:r>
          <w:t xml:space="preserve">Variations</w:t>
        </w:r>
        <w:r>
          <w:tab/>
        </w:r>
        <w:r>
          <w:fldChar w:fldCharType="begin"/>
        </w:r>
        <w:r>
          <w:instrText xml:space="preserve"> PAGEREF _Toc900018 \h </w:instrText>
        </w:r>
        <w:r>
          <w:fldChar w:fldCharType="separate"/>
        </w:r>
        <w:r>
          <w:t xml:space="preserve">11</w:t>
        </w:r>
        <w:r>
          <w:fldChar w:fldCharType="end"/>
        </w:r>
      </w:hyperlink>
    </w:p>
    <w:p>
      <w:pPr>
        <w:pStyle w:val="TOC2"/>
      </w:pPr>
      <w:hyperlink w:anchor="_Toc900019" w:history="1">
        <w:r>
          <w:t xml:space="preserve">15.</w:t>
        </w:r>
        <w:r>
          <w:tab/>
        </w:r>
        <w:r>
          <w:t xml:space="preserve">Payment</w:t>
        </w:r>
        <w:r>
          <w:tab/>
        </w:r>
        <w:r>
          <w:fldChar w:fldCharType="begin"/>
        </w:r>
        <w:r>
          <w:instrText xml:space="preserve"> PAGEREF _Toc900019 \h </w:instrText>
        </w:r>
        <w:r>
          <w:fldChar w:fldCharType="separate"/>
        </w:r>
        <w:r>
          <w:t xml:space="preserve">12</w:t>
        </w:r>
        <w:r>
          <w:fldChar w:fldCharType="end"/>
        </w:r>
      </w:hyperlink>
    </w:p>
    <w:p>
      <w:pPr>
        <w:pStyle w:val="TOC2"/>
      </w:pPr>
      <w:hyperlink w:anchor="_Toc900020" w:history="1">
        <w:r>
          <w:t xml:space="preserve">16.</w:t>
        </w:r>
        <w:r>
          <w:tab/>
        </w:r>
        <w:r>
          <w:t xml:space="preserve">Practical Completion</w:t>
        </w:r>
        <w:r>
          <w:tab/>
        </w:r>
        <w:r>
          <w:fldChar w:fldCharType="begin"/>
        </w:r>
        <w:r>
          <w:instrText xml:space="preserve"> PAGEREF _Toc900020 \h </w:instrText>
        </w:r>
        <w:r>
          <w:fldChar w:fldCharType="separate"/>
        </w:r>
        <w:r>
          <w:t xml:space="preserve">12</w:t>
        </w:r>
        <w:r>
          <w:fldChar w:fldCharType="end"/>
        </w:r>
      </w:hyperlink>
    </w:p>
    <w:p>
      <w:pPr>
        <w:pStyle w:val="TOC2"/>
      </w:pPr>
      <w:hyperlink w:anchor="_Toc900021" w:history="1">
        <w:r>
          <w:t xml:space="preserve">17.</w:t>
        </w:r>
        <w:r>
          <w:tab/>
        </w:r>
        <w:r>
          <w:t xml:space="preserve">Defects</w:t>
        </w:r>
        <w:r>
          <w:tab/>
        </w:r>
        <w:r>
          <w:fldChar w:fldCharType="begin"/>
        </w:r>
        <w:r>
          <w:instrText xml:space="preserve"> PAGEREF _Toc900021 \h </w:instrText>
        </w:r>
        <w:r>
          <w:fldChar w:fldCharType="separate"/>
        </w:r>
        <w:r>
          <w:t xml:space="preserve">12</w:t>
        </w:r>
        <w:r>
          <w:fldChar w:fldCharType="end"/>
        </w:r>
      </w:hyperlink>
    </w:p>
    <w:p>
      <w:pPr>
        <w:pStyle w:val="TOC2"/>
      </w:pPr>
      <w:hyperlink w:anchor="_Toc900022" w:history="1">
        <w:r>
          <w:t xml:space="preserve">18.</w:t>
        </w:r>
        <w:r>
          <w:tab/>
        </w:r>
        <w:r>
          <w:t xml:space="preserve">Notices and electronic documents</w:t>
        </w:r>
        <w:r>
          <w:tab/>
        </w:r>
        <w:r>
          <w:fldChar w:fldCharType="begin"/>
        </w:r>
        <w:r>
          <w:instrText xml:space="preserve"> PAGEREF _Toc900022 \h </w:instrText>
        </w:r>
        <w:r>
          <w:fldChar w:fldCharType="separate"/>
        </w:r>
        <w:r>
          <w:t xml:space="preserve">12</w:t>
        </w:r>
        <w:r>
          <w:fldChar w:fldCharType="end"/>
        </w:r>
      </w:hyperlink>
    </w:p>
    <w:p>
      <w:pPr>
        <w:pStyle w:val="TOC2"/>
      </w:pPr>
      <w:hyperlink w:anchor="_Toc900023" w:history="1">
        <w:r>
          <w:t xml:space="preserve">19.</w:t>
        </w:r>
        <w:r>
          <w:tab/>
        </w:r>
        <w:r>
          <w:t xml:space="preserve">Disputes</w:t>
        </w:r>
        <w:r>
          <w:tab/>
        </w:r>
        <w:r>
          <w:fldChar w:fldCharType="begin"/>
        </w:r>
        <w:r>
          <w:instrText xml:space="preserve"> PAGEREF _Toc900023 \h </w:instrText>
        </w:r>
        <w:r>
          <w:fldChar w:fldCharType="separate"/>
        </w:r>
        <w:r>
          <w:t xml:space="preserve">12</w:t>
        </w:r>
        <w:r>
          <w:fldChar w:fldCharType="end"/>
        </w:r>
      </w:hyperlink>
    </w:p>
    <w:p>
      <w:pPr>
        <w:pStyle w:val="TOC2"/>
      </w:pPr>
      <w:hyperlink w:anchor="_Toc900024" w:history="1">
        <w:r>
          <w:t xml:space="preserve">20.</w:t>
        </w:r>
        <w:r>
          <w:tab/>
        </w:r>
        <w:r>
          <w:t xml:space="preserve">Default and termination</w:t>
        </w:r>
        <w:r>
          <w:tab/>
        </w:r>
        <w:r>
          <w:fldChar w:fldCharType="begin"/>
        </w:r>
        <w:r>
          <w:instrText xml:space="preserve"> PAGEREF _Toc900024 \h </w:instrText>
        </w:r>
        <w:r>
          <w:fldChar w:fldCharType="separate"/>
        </w:r>
        <w:r>
          <w:t xml:space="preserve">13</w:t>
        </w:r>
        <w:r>
          <w:fldChar w:fldCharType="end"/>
        </w:r>
      </w:hyperlink>
    </w:p>
    <w:p>
      <w:pPr>
        <w:pStyle w:val="TOC2"/>
      </w:pPr>
      <w:hyperlink w:anchor="_Toc900025" w:history="1">
        <w:r>
          <w:t xml:space="preserve">21.</w:t>
        </w:r>
        <w:r>
          <w:tab/>
        </w:r>
        <w:r>
          <w:t xml:space="preserve">Indemnity</w:t>
        </w:r>
        <w:r>
          <w:tab/>
        </w:r>
        <w:r>
          <w:fldChar w:fldCharType="begin"/>
        </w:r>
        <w:r>
          <w:instrText xml:space="preserve"> PAGEREF _Toc900025 \h </w:instrText>
        </w:r>
        <w:r>
          <w:fldChar w:fldCharType="separate"/>
        </w:r>
        <w:r>
          <w:t xml:space="preserve">13</w:t>
        </w:r>
        <w:r>
          <w:fldChar w:fldCharType="end"/>
        </w:r>
      </w:hyperlink>
    </w:p>
    <w:p>
      <w:pPr>
        <w:pStyle w:val="TOC2"/>
      </w:pPr>
      <w:hyperlink w:anchor="_Toc900026" w:history="1">
        <w:r>
          <w:t xml:space="preserve">22.</w:t>
        </w:r>
        <w:r>
          <w:tab/>
        </w:r>
        <w:r>
          <w:t xml:space="preserve">Confidentiality</w:t>
        </w:r>
        <w:r>
          <w:tab/>
        </w:r>
        <w:r>
          <w:fldChar w:fldCharType="begin"/>
        </w:r>
        <w:r>
          <w:instrText xml:space="preserve"> PAGEREF _Toc900026 \h </w:instrText>
        </w:r>
        <w:r>
          <w:fldChar w:fldCharType="separate"/>
        </w:r>
        <w:r>
          <w:t xml:space="preserve">13</w:t>
        </w:r>
        <w:r>
          <w:fldChar w:fldCharType="end"/>
        </w:r>
      </w:hyperlink>
    </w:p>
    <w:p>
      <w:pPr>
        <w:pStyle w:val="TOC2"/>
      </w:pPr>
      <w:hyperlink w:anchor="_Toc900027" w:history="1">
        <w:r>
          <w:t xml:space="preserve">23.</w:t>
        </w:r>
        <w:r>
          <w:tab/>
        </w:r>
        <w:r>
          <w:t xml:space="preserve">General</w:t>
        </w:r>
        <w:r>
          <w:tab/>
        </w:r>
        <w:r>
          <w:fldChar w:fldCharType="begin"/>
        </w:r>
        <w:r>
          <w:instrText xml:space="preserve"> PAGEREF _Toc900027 \h </w:instrText>
        </w:r>
        <w:r>
          <w:fldChar w:fldCharType="separate"/>
        </w:r>
        <w:r>
          <w:t xml:space="preserve">13</w:t>
        </w:r>
        <w:r>
          <w:fldChar w:fldCharType="end"/>
        </w:r>
      </w:hyperlink>
    </w:p>
    <w:p>
      <w:pPr>
        <w:pStyle w:val="TOC1"/>
      </w:pPr>
      <w:bookmarkStart w:id="158" w:name="DS_TOC_schedule_1"/>
      <w:hyperlink w:anchor="_Toc900028" w:history="1">
        <w:r>
          <w:t xml:space="preserve">Schedule 1 – Design Requirements</w:t>
        </w:r>
        <w:r>
          <w:tab/>
        </w:r>
        <w:r>
          <w:fldChar w:fldCharType="begin"/>
        </w:r>
        <w:r>
          <w:instrText xml:space="preserve"> PAGEREF _Toc900028 \h </w:instrText>
        </w:r>
        <w:r>
          <w:fldChar w:fldCharType="separate"/>
        </w:r>
        <w:r>
          <w:t xml:space="preserve">14</w:t>
        </w:r>
        <w:r>
          <w:fldChar w:fldCharType="end"/>
        </w:r>
      </w:hyperlink>
      <w:bookmarkEnd w:id="158"/>
    </w:p>
    <w:p>
      <w:pPr>
        <w:pStyle w:val="TOC1"/>
      </w:pPr>
      <w:hyperlink w:anchor="_Toc900029" w:history="1">
        <w:r>
          <w:t xml:space="preserve">Schedule 2 – Scope of Works</w:t>
        </w:r>
        <w:r>
          <w:tab/>
        </w:r>
        <w:r>
          <w:fldChar w:fldCharType="begin"/>
        </w:r>
        <w:r>
          <w:instrText xml:space="preserve"> PAGEREF _Toc900029 \h </w:instrText>
        </w:r>
        <w:r>
          <w:fldChar w:fldCharType="separate"/>
        </w:r>
        <w:r>
          <w:t xml:space="preserve">15</w:t>
        </w:r>
        <w:r>
          <w:fldChar w:fldCharType="end"/>
        </w:r>
      </w:hyperlink>
    </w:p>
    <w:p>
      <w:pPr>
        <w:pStyle w:val="TOC1"/>
      </w:pPr>
      <w:bookmarkStart w:id="159" w:name="DS_TOC_schedule_3"/>
      <w:hyperlink w:anchor="_Toc900030" w:history="1">
        <w:r>
          <w:t xml:space="preserve">Schedule 3 – Contract Program</w:t>
        </w:r>
        <w:r>
          <w:tab/>
        </w:r>
        <w:r>
          <w:fldChar w:fldCharType="begin"/>
        </w:r>
        <w:r>
          <w:instrText xml:space="preserve"> PAGEREF _Toc900030 \h </w:instrText>
        </w:r>
        <w:r>
          <w:fldChar w:fldCharType="separate"/>
        </w:r>
        <w:r>
          <w:t xml:space="preserve">16</w:t>
        </w:r>
        <w:r>
          <w:fldChar w:fldCharType="end"/>
        </w:r>
      </w:hyperlink>
      <w:bookmarkEnd w:id="159"/>
    </w:p>
    <w:p>
      <w:pPr>
        <w:pStyle w:val="TOC1"/>
      </w:pPr>
      <w:bookmarkStart w:id="160" w:name="DS_TOC_schedule_4"/>
      <w:hyperlink w:anchor="_Toc900031" w:history="1">
        <w:r>
          <w:t xml:space="preserve">Schedule 4 – Schedule of Rates and Provisional Work</w:t>
        </w:r>
        <w:r>
          <w:tab/>
        </w:r>
        <w:r>
          <w:fldChar w:fldCharType="begin"/>
        </w:r>
        <w:r>
          <w:instrText xml:space="preserve"> PAGEREF _Toc900031 \h </w:instrText>
        </w:r>
        <w:r>
          <w:fldChar w:fldCharType="separate"/>
        </w:r>
        <w:r>
          <w:t xml:space="preserve">17</w:t>
        </w:r>
        <w:r>
          <w:fldChar w:fldCharType="end"/>
        </w:r>
      </w:hyperlink>
      <w:bookmarkEnd w:id="160"/>
    </w:p>
    <w:p>
      <w:pPr>
        <w:pStyle w:val="TOC1"/>
      </w:pPr>
      <w:bookmarkStart w:id="161" w:name="DS_TOC_schedule_5"/>
      <w:hyperlink w:anchor="_Toc900032" w:history="1">
        <w:r>
          <w:t xml:space="preserve">Schedule 5 – Form of Security</w:t>
        </w:r>
        <w:r>
          <w:tab/>
        </w:r>
        <w:r>
          <w:fldChar w:fldCharType="begin"/>
        </w:r>
        <w:r>
          <w:instrText xml:space="preserve"> PAGEREF _Toc900032 \h </w:instrText>
        </w:r>
        <w:r>
          <w:fldChar w:fldCharType="separate"/>
        </w:r>
        <w:r>
          <w:t xml:space="preserve">18</w:t>
        </w:r>
        <w:r>
          <w:fldChar w:fldCharType="end"/>
        </w:r>
      </w:hyperlink>
      <w:bookmarkEnd w:id="161"/>
    </w:p>
    <w:p>
      <w:pPr>
        <w:pStyle w:val="TOC1"/>
      </w:pPr>
      <w:bookmarkStart w:id="162" w:name="DS_TOC_schedule_6"/>
      <w:hyperlink w:anchor="_Toc900033" w:history="1">
        <w:r>
          <w:t xml:space="preserve">Schedule 6 – Statutory Declaration</w:t>
        </w:r>
        <w:r>
          <w:tab/>
        </w:r>
        <w:r>
          <w:fldChar w:fldCharType="begin"/>
        </w:r>
        <w:r>
          <w:instrText xml:space="preserve"> PAGEREF _Toc900033 \h </w:instrText>
        </w:r>
        <w:r>
          <w:fldChar w:fldCharType="separate"/>
        </w:r>
        <w:r>
          <w:t xml:space="preserve">19</w:t>
        </w:r>
        <w:r>
          <w:fldChar w:fldCharType="end"/>
        </w:r>
      </w:hyperlink>
      <w:bookmarkEnd w:id="162"/>
    </w:p>
    <w:p>
      <w:pPr/>
      <w:r>
        <w:fldChar w:fldCharType="end"/>
      </w:r>
    </w:p>
    <w:p>
      <w:pPr>
        <w:pStyle w:val="Heading1"/>
      </w:pPr>
      <w:bookmarkStart w:id="101" w:name="_Toc900001"/>
      <w:r>
        <w:t>Part 1 – Agreement</w:t>
      </w:r>
      <w:bookmarkEnd w:id="101"/>
    </w:p>
    <w:p>
      <w:pPr/>
      <w:r>
        <w:t>This Subcontract is made on ${contract_date}.</w:t>
      </w:r>
    </w:p>
    <w:p>
      <w:pPr>
        <w:pStyle w:val="Heading3"/>
      </w:pPr>
      <w:r>
        <w:t>Parties</w:t>
      </w:r>
    </w:p>
    <w:p>
      <w:pPr>
        <w:pStyle w:val="BodyIndent"/>
      </w:pPr>
      <w:r>
        <w:t>${contractor_name} ${contractor_company_number} of ${contractor_address} (Contractor)</w:t>
      </w:r>
    </w:p>
    <w:p>
      <w:pPr>
        <w:pStyle w:val="BodyIndent"/>
      </w:pPr>
      <w:r>
        <w:t>${subcontractor_name} ${subcontractor_company_number} of ${subcontractor_address} (Subcontractor)</w:t>
      </w:r>
    </w:p>
    <w:p>
      <w:pPr>
        <w:pStyle w:val="Heading3"/>
      </w:pPr>
      <w:r>
        <w:t>Background</w:t>
      </w:r>
    </w:p>
    <w:p>
      <w:pPr>
        <w:pStyle w:val="Recital"/>
      </w:pPr>
      <w:r>
        <w:t>The Contractor has contracted with the Principal named in the Subcontract Particulars to carry out the Project.</w:t>
      </w:r>
    </w:p>
    <w:p>
      <w:pPr>
        <w:pStyle w:val="Recital"/>
      </w:pPr>
      <w:r>
        <w:t>The Contractor wishes to engage the Subcontractor to carry out the Subcontract Works, and the Subcontractor has agreed to do so on the terms of this Subcontract.</w:t>
      </w:r>
    </w:p>
    <w:p>
      <w:pPr>
        <w:pStyle w:val="Heading3"/>
      </w:pPr>
      <w:r>
        <w:t>Agreed terms</w:t>
      </w:r>
    </w:p>
    <w:p>
      <w:pPr>
        <w:pStyle w:val="AgreementClause"/>
      </w:pPr>
      <w:r>
        <w:t>The Subcontractor must carry out and complete the Subcontract Works for the Subcontract Sum of ${subcontract_sum} (${subcontract_sum_words}) excluding GST, as adjusted under this Subcontract.</w:t>
      </w:r>
    </w:p>
    <w:p>
      <w:pPr>
        <w:pStyle w:val="AgreementClause"/>
      </w:pPr>
      <w:r>
        <w:t>The Contractor must pay the Subcontractor in accordance with this Subcontract.</w:t>
      </w:r>
    </w:p>
    <w:p>
      <w:pPr>
        <w:pStyle w:val="AgreementClause"/>
      </w:pPr>
      <w:r>
        <w:t>The Subcontract consists of the following documents, which are to be read together:</w:t>
      </w:r>
    </w:p>
    <w:bookmarkStart w:id="102" w:name="DS_LIST_subcontract_documents"/>
    <w:p>
      <w:pPr>
        <w:pStyle w:val="ListLetter"/>
      </w:pPr>
      <w:r>
        <w:t>this Agreement;</w:t>
      </w:r>
    </w:p>
    <w:bookmarkStart w:id="103" w:name="DS_FIA_special_conditions"/>
    <w:p>
      <w:pPr>
        <w:pStyle w:val="ListLetter"/>
      </w:pPr>
      <w:r>
        <w:t>the Special Conditions;</w:t>
      </w:r>
    </w:p>
    <w:bookmarkEnd w:id="103"/>
    <w:p>
      <w:pPr>
        <w:pStyle w:val="ListLetter"/>
      </w:pPr>
      <w:r>
        <w:t>the Subcontract Particulars;</w:t>
      </w:r>
    </w:p>
    <w:p>
      <w:pPr>
        <w:pStyle w:val="ListLetter"/>
      </w:pPr>
      <w:r>
        <w:t>the General Conditions;</w:t>
      </w:r>
    </w:p>
    <w:bookmarkStart w:id="104" w:name="DS_FIA_schedule_1"/>
    <w:p>
      <w:pPr>
        <w:pStyle w:val="ListLetter"/>
      </w:pPr>
      <w:r>
        <w:t>Schedule 1 – Design Requirements;</w:t>
      </w:r>
    </w:p>
    <w:bookmarkEnd w:id="104"/>
    <w:p>
      <w:pPr>
        <w:pStyle w:val="ListLetter"/>
      </w:pPr>
      <w:r>
        <w:t>Schedule 2 – Scope of Works;</w:t>
      </w:r>
    </w:p>
    <w:bookmarkStart w:id="105" w:name="DS_FIA_schedule_3"/>
    <w:p>
      <w:pPr>
        <w:pStyle w:val="ListLetter"/>
      </w:pPr>
      <w:r>
        <w:t>Schedule 3 – Contract Program;</w:t>
      </w:r>
    </w:p>
    <w:bookmarkEnd w:id="105"/>
    <w:bookmarkStart w:id="106" w:name="DS_FIA_schedule_4"/>
    <w:p>
      <w:pPr>
        <w:pStyle w:val="ListLetter"/>
      </w:pPr>
      <w:r>
        <w:t>Schedule 4 – Schedule of Rates and Provisional Work;</w:t>
      </w:r>
    </w:p>
    <w:bookmarkEnd w:id="106"/>
    <w:bookmarkStart w:id="107" w:name="DS_FIA_schedule_5"/>
    <w:p>
      <w:pPr>
        <w:pStyle w:val="ListLetter"/>
      </w:pPr>
      <w:r>
        <w:t>Schedule 5 – Form of Security;</w:t>
      </w:r>
    </w:p>
    <w:bookmarkEnd w:id="107"/>
    <w:bookmarkStart w:id="108" w:name="DS_FIA_schedule_6"/>
    <w:p>
      <w:pPr>
        <w:pStyle w:val="ListLetter"/>
      </w:pPr>
      <w:r>
        <w:t>Schedule 6 – Statutory Declaration.</w:t>
      </w:r>
    </w:p>
    <w:bookmarkEnd w:id="108"/>
    <w:bookmarkEnd w:id="102"/>
    <w:p>
      <w:pPr>
        <w:pStyle w:val="AgreementClause"/>
      </w:pPr>
      <w:r>
        <w:t>If the documents are inconsistent, clause 1.3 of the General Conditions applies.</w:t>
      </w:r>
    </w:p>
    <w:p>
      <w:pPr>
        <w:pStyle w:val="Heading3"/>
      </w:pPr>
      <w:r>
        <w:t>Executed as an agreement</w:t>
      </w:r>
    </w:p>
    <w:p>
      <w:pPr>
        <w:pStyle w:val="ItemText"/>
        <w:keepNext/>
      </w:pPr>
      <w:r>
        <w:t>Signed for the Contractor, ${contractor_name} ${contractor_company_number}, by its authorised signatories:</w:t>
      </w:r>
    </w:p>
    <w:tbl>
      <w:tblPr>
        <w:tblStyle w:val="TableGrid"/>
        <w:tblW w:type="auto" w:w="0"/>
        <w:jc w:val="left"/>
        <w:tblLayout w:type="fixed"/>
        <w:tblLook w:firstColumn="1" w:firstRow="1" w:lastColumn="0" w:lastRow="0" w:noHBand="0" w:noVBand="1" w:val="04A0"/>
      </w:tblPr>
      <w:tblGrid>
        <w:gridCol w:w="4535"/>
        <w:gridCol w:w="4535"/>
      </w:tblGrid>
      <w:tr>
        <w:trPr>
          <w:cantSplit/>
          <w:trHeight w:val="1020" w:hRule="atLeast"/>
        </w:trPr>
        <w:tc>
          <w:tcPr>
            <w:tcW w:type="dxa" w:w="4535"/>
          </w:tcPr>
          <w:p>
            <w:pPr>
              <w:pStyle w:val="TableText"/>
              <w:keepNext/>
            </w:pPr>
            <w:bookmarkStart w:id="109" w:name="DS_SIGN_contractor"/>
            <w:bookmarkEnd w:id="109"/>
            <w:r/>
          </w:p>
        </w:tc>
        <w:tc>
          <w:tcPr>
            <w:tcW w:type="dxa" w:w="4535"/>
          </w:tcPr>
          <w:p>
            <w:pPr>
              <w:pStyle w:val="TableText"/>
              <w:keepNext/>
            </w:pPr>
            <w:r/>
          </w:p>
        </w:tc>
      </w:tr>
      <w:tr>
        <w:trPr>
          <w:cantSplit/>
        </w:trPr>
        <w:tc>
          <w:tcPr>
            <w:tcW w:type="dxa" w:w="4535"/>
          </w:tcPr>
          <w:p>
            <w:pPr>
              <w:pStyle w:val="TableText"/>
              <w:keepNext/>
            </w:pPr>
            <w:r>
              <w:t>Signature of authorised signatory</w:t>
            </w:r>
          </w:p>
        </w:tc>
        <w:tc>
          <w:tcPr>
            <w:tcW w:type="dxa" w:w="4535"/>
          </w:tcPr>
          <w:p>
            <w:pPr>
              <w:pStyle w:val="TableText"/>
              <w:keepNext/>
            </w:pPr>
            <w:r>
              <w:t>Signature of second authorised signatory (if required)</w:t>
            </w:r>
          </w:p>
        </w:tc>
      </w:tr>
      <w:tr>
        <w:trPr>
          <w:cantSplit/>
        </w:trPr>
        <w:tc>
          <w:tcPr>
            <w:tcW w:type="dxa" w:w="4535"/>
          </w:tcPr>
          <w:p>
            <w:pPr>
              <w:pStyle w:val="TableText"/>
              <w:keepNext/>
            </w:pPr>
            <w:r>
              <w:t>Name: ${contractor_signatory.name}</w:t>
            </w:r>
          </w:p>
        </w:tc>
        <w:tc>
          <w:tcPr>
            <w:tcW w:type="dxa" w:w="4535"/>
          </w:tcPr>
          <w:p>
            <w:pPr>
              <w:pStyle w:val="TableText"/>
              <w:keepNext/>
            </w:pPr>
            <w:r>
              <w:t>Name:</w:t>
            </w:r>
          </w:p>
        </w:tc>
      </w:tr>
      <w:tr>
        <w:trPr>
          <w:cantSplit/>
        </w:trPr>
        <w:tc>
          <w:tcPr>
            <w:tcW w:type="dxa" w:w="4535"/>
          </w:tcPr>
          <w:p>
            <w:pPr>
              <w:pStyle w:val="TableText"/>
              <w:keepNext/>
            </w:pPr>
            <w:r>
              <w:t>Position:</w:t>
            </w:r>
          </w:p>
        </w:tc>
        <w:tc>
          <w:tcPr>
            <w:tcW w:type="dxa" w:w="4535"/>
          </w:tcPr>
          <w:p>
            <w:pPr>
              <w:pStyle w:val="TableText"/>
              <w:keepNext/>
            </w:pPr>
            <w:r>
              <w:t>Position:</w:t>
            </w:r>
          </w:p>
        </w:tc>
      </w:tr>
      <w:tr>
        <w:trPr>
          <w:cantSplit/>
        </w:trPr>
        <w:tc>
          <w:tcPr>
            <w:tcW w:type="dxa" w:w="4535"/>
          </w:tcPr>
          <w:p>
            <w:pPr>
              <w:pStyle w:val="TableText"/>
            </w:pPr>
            <w:r>
              <w:t>Date:</w:t>
            </w:r>
          </w:p>
        </w:tc>
        <w:tc>
          <w:tcPr>
            <w:tcW w:type="dxa" w:w="4535"/>
          </w:tcPr>
          <w:p>
            <w:pPr>
              <w:pStyle w:val="TableText"/>
            </w:pPr>
            <w:r>
              <w:t>Date:</w:t>
            </w:r>
          </w:p>
        </w:tc>
      </w:tr>
    </w:tbl>
    <w:p>
      <w:pPr>
        <w:pStyle w:val="ItemText"/>
      </w:pPr>
    </w:p>
    <w:p>
      <w:pPr>
        <w:pStyle w:val="ItemText"/>
        <w:keepNext/>
      </w:pPr>
      <w:r>
        <w:t>Signed for the Subcontractor, ${subcontractor_name} ${subcontractor_company_number}, by its authorised signatories:</w:t>
      </w:r>
    </w:p>
    <w:tbl>
      <w:tblPr>
        <w:tblStyle w:val="TableGrid"/>
        <w:tblW w:type="auto" w:w="0"/>
        <w:jc w:val="left"/>
        <w:tblLayout w:type="fixed"/>
        <w:tblLook w:firstColumn="1" w:firstRow="1" w:lastColumn="0" w:lastRow="0" w:noHBand="0" w:noVBand="1" w:val="04A0"/>
      </w:tblPr>
      <w:tblGrid>
        <w:gridCol w:w="4535"/>
        <w:gridCol w:w="4535"/>
      </w:tblGrid>
      <w:tr>
        <w:trPr>
          <w:cantSplit/>
          <w:trHeight w:val="1020" w:hRule="atLeast"/>
        </w:trPr>
        <w:tc>
          <w:tcPr>
            <w:tcW w:type="dxa" w:w="4535"/>
          </w:tcPr>
          <w:p>
            <w:pPr>
              <w:pStyle w:val="TableText"/>
              <w:keepNext/>
            </w:pPr>
            <w:bookmarkStart w:id="110" w:name="DS_SIGN_subcontractor"/>
            <w:bookmarkEnd w:id="110"/>
            <w:r/>
          </w:p>
        </w:tc>
        <w:tc>
          <w:tcPr>
            <w:tcW w:type="dxa" w:w="4535"/>
          </w:tcPr>
          <w:p>
            <w:pPr>
              <w:pStyle w:val="TableText"/>
              <w:keepNext/>
            </w:pPr>
            <w:r/>
          </w:p>
        </w:tc>
      </w:tr>
      <w:tr>
        <w:trPr>
          <w:cantSplit/>
        </w:trPr>
        <w:tc>
          <w:tcPr>
            <w:tcW w:type="dxa" w:w="4535"/>
          </w:tcPr>
          <w:p>
            <w:pPr>
              <w:pStyle w:val="TableText"/>
              <w:keepNext/>
            </w:pPr>
            <w:r>
              <w:t>Signature of authorised signatory</w:t>
            </w:r>
          </w:p>
        </w:tc>
        <w:tc>
          <w:tcPr>
            <w:tcW w:type="dxa" w:w="4535"/>
          </w:tcPr>
          <w:p>
            <w:pPr>
              <w:pStyle w:val="TableText"/>
              <w:keepNext/>
            </w:pPr>
            <w:r>
              <w:t>Signature of second authorised signatory (if required)</w:t>
            </w:r>
          </w:p>
        </w:tc>
      </w:tr>
      <w:tr>
        <w:trPr>
          <w:cantSplit/>
        </w:trPr>
        <w:tc>
          <w:tcPr>
            <w:tcW w:type="dxa" w:w="4535"/>
          </w:tcPr>
          <w:p>
            <w:pPr>
              <w:pStyle w:val="TableText"/>
              <w:keepNext/>
            </w:pPr>
            <w:r>
              <w:t xml:space="preserve">Name: </w:t>
            </w:r>
          </w:p>
        </w:tc>
        <w:tc>
          <w:tcPr>
            <w:tcW w:type="dxa" w:w="4535"/>
          </w:tcPr>
          <w:p>
            <w:pPr>
              <w:pStyle w:val="TableText"/>
              <w:keepNext/>
            </w:pPr>
            <w:r>
              <w:t>Name:</w:t>
            </w:r>
          </w:p>
        </w:tc>
      </w:tr>
      <w:tr>
        <w:trPr>
          <w:cantSplit/>
        </w:trPr>
        <w:tc>
          <w:tcPr>
            <w:tcW w:type="dxa" w:w="4535"/>
          </w:tcPr>
          <w:p>
            <w:pPr>
              <w:pStyle w:val="TableText"/>
              <w:keepNext/>
            </w:pPr>
            <w:r>
              <w:t>Position:</w:t>
            </w:r>
          </w:p>
        </w:tc>
        <w:tc>
          <w:tcPr>
            <w:tcW w:type="dxa" w:w="4535"/>
          </w:tcPr>
          <w:p>
            <w:pPr>
              <w:pStyle w:val="TableText"/>
              <w:keepNext/>
            </w:pPr>
            <w:r>
              <w:t>Position:</w:t>
            </w:r>
          </w:p>
        </w:tc>
      </w:tr>
      <w:tr>
        <w:trPr>
          <w:cantSplit/>
        </w:trPr>
        <w:tc>
          <w:tcPr>
            <w:tcW w:type="dxa" w:w="4535"/>
          </w:tcPr>
          <w:p>
            <w:pPr>
              <w:pStyle w:val="TableText"/>
            </w:pPr>
            <w:r>
              <w:t>Date:</w:t>
            </w:r>
          </w:p>
        </w:tc>
        <w:tc>
          <w:tcPr>
            <w:tcW w:type="dxa" w:w="4535"/>
          </w:tcPr>
          <w:p>
            <w:pPr>
              <w:pStyle w:val="TableText"/>
            </w:pPr>
            <w:r>
              <w:t>Date:</w:t>
            </w:r>
          </w:p>
        </w:tc>
      </w:tr>
    </w:tbl>
    <w:p>
      <w:pPr>
        <w:pStyle w:val="ItemText"/>
      </w:pPr>
    </w:p>
    <w:bookmarkStart w:id="112" w:name="DS_PART_special_conditions"/>
    <w:p>
      <w:pPr>
        <w:pStyle w:val="Heading1"/>
      </w:pPr>
      <w:bookmarkStart w:id="111" w:name="_Toc900002"/>
      <w:r>
        <w:t>Part 2 – Special Conditions</w:t>
      </w:r>
      <w:bookmarkEnd w:id="111"/>
    </w:p>
    <w:p>
      <w:pPr/>
      <w:r>
        <w:t>The General Conditions are amended as follows:</w:t>
      </w:r>
    </w:p>
    <w:p>
      <w:pPr/>
      <w:r>
        <w:t>${amendments}</w:t>
      </w:r>
    </w:p>
    <w:bookmarkEnd w:id="112"/>
    <w:p>
      <w:pPr>
        <w:pStyle w:val="Heading1"/>
      </w:pPr>
      <w:bookmarkStart w:id="113" w:name="_Toc900003"/>
      <w:r>
        <w:t>Part 3 – Subcontract Particulars</w:t>
      </w:r>
      <w:bookmarkEnd w:id="113"/>
    </w:p>
    <w:p>
      <w:pPr/>
      <w:r>
        <w:t>Where an Item is blank or says “Not applicable”, the General Conditions say what applies.</w:t>
      </w:r>
    </w:p>
    <w:p>
      <w:pPr>
        <w:pStyle w:val="ItemHeading"/>
      </w:pPr>
      <w:r>
        <w:t>Item 1  Contractor  (clause 3)</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keepNext/>
            </w:pPr>
            <w:r>
              <w:t>Contractor</w:t>
            </w:r>
          </w:p>
        </w:tc>
        <w:tc>
          <w:tcPr>
            <w:tcW w:type="dxa" w:w="5953"/>
          </w:tcPr>
          <w:p>
            <w:pPr>
              <w:pStyle w:val="TableText"/>
              <w:keepNext/>
            </w:pPr>
            <w:r>
              <w:t>${contractor_name} ${contractor_company_number}</w:t>
            </w:r>
          </w:p>
        </w:tc>
      </w:tr>
      <w:tr>
        <w:trPr>
          <w:cantSplit/>
        </w:trPr>
        <w:tc>
          <w:tcPr>
            <w:tcW w:type="dxa" w:w="3118"/>
          </w:tcPr>
          <w:p>
            <w:pPr>
              <w:pStyle w:val="TableLabel"/>
              <w:keepNext/>
            </w:pPr>
            <w:r>
              <w:t>Address</w:t>
            </w:r>
          </w:p>
        </w:tc>
        <w:tc>
          <w:tcPr>
            <w:tcW w:type="dxa" w:w="5953"/>
          </w:tcPr>
          <w:p>
            <w:pPr>
              <w:pStyle w:val="TableText"/>
              <w:keepNext/>
            </w:pPr>
            <w:r>
              <w:t>${contractor_address}</w:t>
            </w:r>
          </w:p>
        </w:tc>
      </w:tr>
      <w:tr>
        <w:trPr>
          <w:cantSplit/>
        </w:trPr>
        <w:tc>
          <w:tcPr>
            <w:tcW w:type="dxa" w:w="3118"/>
          </w:tcPr>
          <w:p>
            <w:pPr>
              <w:pStyle w:val="TableLabel"/>
              <w:keepNext/>
            </w:pPr>
            <w:r>
              <w:t>Contractor’s Representative</w:t>
            </w:r>
          </w:p>
        </w:tc>
        <w:tc>
          <w:tcPr>
            <w:tcW w:type="dxa" w:w="5953"/>
          </w:tcPr>
          <w:p>
            <w:pPr>
              <w:pStyle w:val="TableText"/>
              <w:keepNext/>
            </w:pPr>
            <w:r>
              <w:t>${contractor_rep.name}</w:t>
            </w:r>
          </w:p>
          <w:p>
            <w:pPr>
              <w:pStyle w:val="TableText"/>
              <w:keepNext/>
            </w:pPr>
            <w:r>
              <w:t>Address for service: ${contractor_rep.address}</w:t>
            </w:r>
          </w:p>
          <w:p>
            <w:pPr>
              <w:pStyle w:val="TableText"/>
              <w:keepNext/>
            </w:pPr>
            <w:r>
              <w:t>Phone: ${contractor_rep.office}   Mobile: ${contractor_rep.mobile}</w:t>
            </w:r>
          </w:p>
          <w:p>
            <w:pPr>
              <w:pStyle w:val="TableText"/>
              <w:keepNext/>
            </w:pPr>
            <w:r>
              <w:t>Email: ${contractor_rep.email}</w:t>
            </w:r>
          </w:p>
        </w:tc>
      </w:tr>
      <w:tr>
        <w:trPr>
          <w:cantSplit/>
        </w:trPr>
        <w:tc>
          <w:tcPr>
            <w:tcW w:type="dxa" w:w="3118"/>
          </w:tcPr>
          <w:p>
            <w:pPr>
              <w:pStyle w:val="TableLabel"/>
            </w:pPr>
            <w:r>
              <w:t>Email address for progress claims</w:t>
            </w:r>
          </w:p>
        </w:tc>
        <w:tc>
          <w:tcPr>
            <w:tcW w:type="dxa" w:w="5953"/>
          </w:tcPr>
          <w:p>
            <w:pPr>
              <w:pStyle w:val="TableText"/>
            </w:pPr>
            <w:r>
              <w:t>${claims_email}</w:t>
            </w:r>
          </w:p>
        </w:tc>
      </w:tr>
    </w:tbl>
    <w:p>
      <w:pPr>
        <w:pStyle w:val="ItemHeading"/>
      </w:pPr>
      <w:r>
        <w:t>Item 2  Subcontractor  (clause 3)</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keepNext/>
            </w:pPr>
            <w:r>
              <w:t>Subcontractor</w:t>
            </w:r>
          </w:p>
        </w:tc>
        <w:tc>
          <w:tcPr>
            <w:tcW w:type="dxa" w:w="5953"/>
          </w:tcPr>
          <w:p>
            <w:pPr>
              <w:pStyle w:val="TableText"/>
              <w:keepNext/>
            </w:pPr>
            <w:r>
              <w:t>${subcontractor_name} ${subcontractor_company_number}</w:t>
            </w:r>
          </w:p>
        </w:tc>
      </w:tr>
      <w:tr>
        <w:trPr>
          <w:cantSplit/>
        </w:trPr>
        <w:tc>
          <w:tcPr>
            <w:tcW w:type="dxa" w:w="3118"/>
          </w:tcPr>
          <w:p>
            <w:pPr>
              <w:pStyle w:val="TableLabel"/>
              <w:keepNext/>
            </w:pPr>
            <w:r>
              <w:t>Address</w:t>
            </w:r>
          </w:p>
        </w:tc>
        <w:tc>
          <w:tcPr>
            <w:tcW w:type="dxa" w:w="5953"/>
          </w:tcPr>
          <w:p>
            <w:pPr>
              <w:pStyle w:val="TableText"/>
              <w:keepNext/>
            </w:pPr>
            <w:r>
              <w:t>${subcontractor_address}</w:t>
            </w:r>
          </w:p>
        </w:tc>
      </w:tr>
      <w:tr>
        <w:trPr>
          <w:cantSplit/>
        </w:trPr>
        <w:tc>
          <w:tcPr>
            <w:tcW w:type="dxa" w:w="3118"/>
          </w:tcPr>
          <w:p>
            <w:pPr>
              <w:pStyle w:val="TableLabel"/>
              <w:keepNext/>
            </w:pPr>
            <w:r>
              <w:t>Contractor licence number</w:t>
            </w:r>
          </w:p>
        </w:tc>
        <w:tc>
          <w:tcPr>
            <w:tcW w:type="dxa" w:w="5953"/>
          </w:tcPr>
          <w:p>
            <w:pPr>
              <w:pStyle w:val="TableText"/>
              <w:keepNext/>
            </w:pPr>
            <w:r>
              <w:t>${subcontractor_licence}</w:t>
            </w:r>
          </w:p>
        </w:tc>
      </w:tr>
      <w:tr>
        <w:trPr>
          <w:cantSplit/>
        </w:trPr>
        <w:tc>
          <w:tcPr>
            <w:tcW w:type="dxa" w:w="3118"/>
          </w:tcPr>
          <w:p>
            <w:pPr>
              <w:pStyle w:val="TableLabel"/>
            </w:pPr>
            <w:r>
              <w:t>Subcontractor’s Representative</w:t>
            </w:r>
          </w:p>
        </w:tc>
        <w:tc>
          <w:tcPr>
            <w:tcW w:type="dxa" w:w="5953"/>
          </w:tcPr>
          <w:p>
            <w:pPr>
              <w:pStyle w:val="TableText"/>
            </w:pPr>
            <w:r>
              <w:t>${subcontractor_rep.name}</w:t>
            </w:r>
          </w:p>
          <w:p>
            <w:pPr>
              <w:pStyle w:val="TableText"/>
            </w:pPr>
            <w:r>
              <w:t>Address: ${subcontractor_rep.address}</w:t>
            </w:r>
          </w:p>
          <w:p>
            <w:pPr>
              <w:pStyle w:val="TableText"/>
            </w:pPr>
            <w:r>
              <w:t>Phone: ${subcontractor_rep.office}   Mobile: ${subcontractor_rep.mobile}</w:t>
            </w:r>
          </w:p>
          <w:p>
            <w:pPr>
              <w:pStyle w:val="TableText"/>
            </w:pPr>
            <w:r>
              <w:t>Email: ${subcontractor_rep.email}</w:t>
            </w:r>
          </w:p>
        </w:tc>
      </w:tr>
    </w:tbl>
    <w:p>
      <w:pPr>
        <w:pStyle w:val="ItemHeading"/>
      </w:pPr>
      <w:r>
        <w:t>Item 3  Principal  (clause 1.1)</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keepNext/>
            </w:pPr>
            <w:r>
              <w:t>Principal under the Head Contract</w:t>
            </w:r>
          </w:p>
        </w:tc>
        <w:tc>
          <w:tcPr>
            <w:tcW w:type="dxa" w:w="5953"/>
          </w:tcPr>
          <w:p>
            <w:pPr>
              <w:pStyle w:val="TableText"/>
              <w:keepNext/>
            </w:pPr>
            <w:r>
              <w:t>${principal.name}</w:t>
            </w:r>
          </w:p>
          <w:p>
            <w:pPr>
              <w:pStyle w:val="TableText"/>
              <w:keepNext/>
            </w:pPr>
            <w:r>
              <w:t>${principal.address}</w:t>
            </w:r>
          </w:p>
        </w:tc>
      </w:tr>
      <w:tr>
        <w:trPr>
          <w:cantSplit/>
        </w:trPr>
        <w:tc>
          <w:tcPr>
            <w:tcW w:type="dxa" w:w="3118"/>
          </w:tcPr>
          <w:p>
            <w:pPr>
              <w:pStyle w:val="TableLabel"/>
            </w:pPr>
            <w:r>
              <w:t>Principal’s Representative</w:t>
            </w:r>
          </w:p>
        </w:tc>
        <w:tc>
          <w:tcPr>
            <w:tcW w:type="dxa" w:w="5953"/>
          </w:tcPr>
          <w:p>
            <w:pPr>
              <w:pStyle w:val="TableText"/>
            </w:pPr>
            <w:r>
              <w:t>${principal_rep.name}</w:t>
            </w:r>
          </w:p>
          <w:p>
            <w:pPr>
              <w:pStyle w:val="TableText"/>
            </w:pPr>
            <w:r>
              <w:t>Email: ${principal_rep.email}</w:t>
            </w:r>
          </w:p>
        </w:tc>
      </w:tr>
    </w:tbl>
    <w:bookmarkStart w:id="114" w:name="DS_PART_superintendent"/>
    <w:p>
      <w:pPr>
        <w:pStyle w:val="ItemHeading"/>
      </w:pPr>
      <w:r>
        <w:t>Item 4  Superintendent</w:t>
      </w:r>
    </w:p>
    <w:p>
      <w:pPr>
        <w:pStyle w:val="ItemText"/>
      </w:pPr>
      <w:r>
        <w:t>The Superintendent under the Head Contract is:</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pPr>
            <w:r>
              <w:t>Superintendent</w:t>
            </w:r>
          </w:p>
        </w:tc>
        <w:tc>
          <w:tcPr>
            <w:tcW w:type="dxa" w:w="5953"/>
          </w:tcPr>
          <w:p>
            <w:pPr>
              <w:pStyle w:val="TableText"/>
            </w:pPr>
            <w:r>
              <w:t>${superintendent.name}</w:t>
            </w:r>
          </w:p>
          <w:p>
            <w:pPr>
              <w:pStyle w:val="TableText"/>
            </w:pPr>
            <w:r>
              <w:t>${superintendent.address}</w:t>
            </w:r>
          </w:p>
          <w:p>
            <w:pPr>
              <w:pStyle w:val="TableText"/>
            </w:pPr>
            <w:r>
              <w:t>Email: ${superintendent.email}</w:t>
            </w:r>
          </w:p>
        </w:tc>
      </w:tr>
    </w:tbl>
    <w:bookmarkEnd w:id="114"/>
    <w:p>
      <w:pPr>
        <w:pStyle w:val="ItemHeading"/>
      </w:pPr>
      <w:r>
        <w:t>Item 5  Project and Site  (clause 8)</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keepNext/>
            </w:pPr>
            <w:r>
              <w:t>Project</w:t>
            </w:r>
          </w:p>
        </w:tc>
        <w:tc>
          <w:tcPr>
            <w:tcW w:type="dxa" w:w="5953"/>
          </w:tcPr>
          <w:p>
            <w:pPr>
              <w:pStyle w:val="TableText"/>
              <w:keepNext/>
            </w:pPr>
            <w:r>
              <w:t>${project_name}</w:t>
            </w:r>
          </w:p>
        </w:tc>
      </w:tr>
      <w:tr>
        <w:trPr>
          <w:cantSplit/>
        </w:trPr>
        <w:tc>
          <w:tcPr>
            <w:tcW w:type="dxa" w:w="3118"/>
          </w:tcPr>
          <w:p>
            <w:pPr>
              <w:pStyle w:val="TableLabel"/>
              <w:keepNext/>
            </w:pPr>
            <w:r>
              <w:t>Site</w:t>
            </w:r>
          </w:p>
        </w:tc>
        <w:tc>
          <w:tcPr>
            <w:tcW w:type="dxa" w:w="5953"/>
          </w:tcPr>
          <w:p>
            <w:pPr>
              <w:pStyle w:val="TableText"/>
              <w:keepNext/>
            </w:pPr>
            <w:r>
              <w:t>${site_address}</w:t>
            </w:r>
          </w:p>
        </w:tc>
      </w:tr>
      <w:tr>
        <w:trPr>
          <w:cantSplit/>
        </w:trPr>
        <w:tc>
          <w:tcPr>
            <w:tcW w:type="dxa" w:w="3118"/>
          </w:tcPr>
          <w:p>
            <w:pPr>
              <w:pStyle w:val="TableLabel"/>
            </w:pPr>
            <w:r>
              <w:t>Working hours</w:t>
            </w:r>
          </w:p>
        </w:tc>
        <w:tc>
          <w:tcPr>
            <w:tcW w:type="dxa" w:w="5953"/>
          </w:tcPr>
          <w:p>
            <w:pPr>
              <w:pStyle w:val="TableText"/>
            </w:pPr>
            <w:r>
              <w:t>${working_hours_start} to ${working_hours_end}, Monday to Friday, unless the Contractor’s Representative agrees otherwise</w:t>
            </w:r>
          </w:p>
        </w:tc>
      </w:tr>
    </w:tbl>
    <w:p>
      <w:pPr>
        <w:pStyle w:val="ItemHeading"/>
      </w:pPr>
      <w:r>
        <w:t>Item 6  Subcontract Sum  (clause 15)</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keepNext/>
            </w:pPr>
            <w:r>
              <w:t>Lump sum</w:t>
            </w:r>
          </w:p>
        </w:tc>
        <w:tc>
          <w:tcPr>
            <w:tcW w:type="dxa" w:w="5953"/>
          </w:tcPr>
          <w:p>
            <w:pPr>
              <w:pStyle w:val="TableText"/>
              <w:keepNext/>
            </w:pPr>
            <w:r>
              <w:t>${lump_sum_price}</w:t>
            </w:r>
          </w:p>
        </w:tc>
      </w:tr>
      <w:tr>
        <w:trPr>
          <w:cantSplit/>
        </w:trPr>
        <w:tc>
          <w:tcPr>
            <w:tcW w:type="dxa" w:w="3118"/>
          </w:tcPr>
          <w:p>
            <w:pPr>
              <w:pStyle w:val="TableLabel"/>
              <w:keepNext/>
            </w:pPr>
            <w:bookmarkStart w:id="115" w:name="DS_PART_item6_provisional"/>
            <w:r>
              <w:t>Provisional Work (Schedule 4)</w:t>
            </w:r>
          </w:p>
        </w:tc>
        <w:tc>
          <w:tcPr>
            <w:tcW w:type="dxa" w:w="5953"/>
          </w:tcPr>
          <w:p>
            <w:pPr>
              <w:pStyle w:val="TableText"/>
              <w:keepNext/>
            </w:pPr>
            <w:r>
              <w:t>${provisional_work_sum}</w:t>
            </w:r>
            <w:bookmarkEnd w:id="115"/>
          </w:p>
        </w:tc>
      </w:tr>
      <w:tr>
        <w:trPr>
          <w:cantSplit/>
        </w:trPr>
        <w:tc>
          <w:tcPr>
            <w:tcW w:type="dxa" w:w="3118"/>
          </w:tcPr>
          <w:p>
            <w:pPr>
              <w:pStyle w:val="TableLabel"/>
            </w:pPr>
            <w:r>
              <w:t>Subcontract Sum (excluding GST)</w:t>
            </w:r>
          </w:p>
        </w:tc>
        <w:tc>
          <w:tcPr>
            <w:tcW w:type="dxa" w:w="5953"/>
          </w:tcPr>
          <w:p>
            <w:pPr>
              <w:pStyle w:val="TableText"/>
            </w:pPr>
            <w:r>
              <w:t>${subcontract_sum}</w:t>
            </w:r>
          </w:p>
          <w:p>
            <w:pPr>
              <w:pStyle w:val="TableText"/>
            </w:pPr>
            <w:r>
              <w:t>${subcontract_sum_words}</w:t>
            </w:r>
          </w:p>
        </w:tc>
      </w:tr>
    </w:tbl>
    <w:p>
      <w:pPr>
        <w:pStyle w:val="ItemHeading"/>
      </w:pPr>
      <w:r>
        <w:t>Item 7  Key dates  (clause 11, 16 and 17)</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keepNext/>
            </w:pPr>
            <w:r>
              <w:t>Date for Commencement</w:t>
            </w:r>
          </w:p>
        </w:tc>
        <w:tc>
          <w:tcPr>
            <w:tcW w:type="dxa" w:w="5953"/>
          </w:tcPr>
          <w:p>
            <w:pPr>
              <w:pStyle w:val="TableText"/>
              <w:keepNext/>
            </w:pPr>
            <w:r>
              <w:t>${date_for_commencement}</w:t>
            </w:r>
          </w:p>
        </w:tc>
      </w:tr>
      <w:tr>
        <w:trPr>
          <w:cantSplit/>
        </w:trPr>
        <w:tc>
          <w:tcPr>
            <w:tcW w:type="dxa" w:w="3118"/>
          </w:tcPr>
          <w:p>
            <w:pPr>
              <w:pStyle w:val="TableLabel"/>
              <w:keepNext/>
            </w:pPr>
            <w:r>
              <w:t>Date for Practical Completion</w:t>
            </w:r>
          </w:p>
        </w:tc>
        <w:tc>
          <w:tcPr>
            <w:tcW w:type="dxa" w:w="5953"/>
          </w:tcPr>
          <w:p>
            <w:pPr>
              <w:pStyle w:val="TableText"/>
              <w:keepNext/>
            </w:pPr>
            <w:bookmarkStart w:id="116" w:name="DS_PART_pc_date"/>
            <w:r>
              <w:t>${practical_completion_date}</w:t>
            </w:r>
            <w:bookmarkEnd w:id="116"/>
          </w:p>
          <w:p>
            <w:pPr>
              <w:pStyle w:val="TableText"/>
              <w:keepNext/>
            </w:pPr>
            <w:bookmarkStart w:id="117" w:name="DS_PART_pc_days"/>
            <w:r>
              <w:t>${pc_days} days after the Date for Commencement</w:t>
            </w:r>
            <w:bookmarkEnd w:id="117"/>
          </w:p>
        </w:tc>
      </w:tr>
      <w:tr>
        <w:trPr>
          <w:cantSplit/>
        </w:trPr>
        <w:tc>
          <w:tcPr>
            <w:tcW w:type="dxa" w:w="3118"/>
          </w:tcPr>
          <w:p>
            <w:pPr>
              <w:pStyle w:val="TableLabel"/>
            </w:pPr>
            <w:r>
              <w:t>Defects Liability Period</w:t>
            </w:r>
          </w:p>
        </w:tc>
        <w:tc>
          <w:tcPr>
            <w:tcW w:type="dxa" w:w="5953"/>
          </w:tcPr>
          <w:p>
            <w:pPr>
              <w:pStyle w:val="TableText"/>
            </w:pPr>
            <w:r>
              <w:t>${defects_liability_period}</w:t>
            </w:r>
          </w:p>
        </w:tc>
      </w:tr>
    </w:tbl>
    <w:p>
      <w:pPr>
        <w:pStyle w:val="ItemHeading"/>
      </w:pPr>
      <w:r>
        <w:t>Item 8  Separable Portions  (clause 11)</w:t>
      </w:r>
    </w:p>
    <w:p>
      <w:pPr>
        <w:pStyle w:val="ItemText"/>
      </w:pPr>
      <w:r>
        <w:t>If no Separable Portions are set out below, the Subcontract Works are not divided into Separable Portions.</w:t>
      </w:r>
    </w:p>
    <w:bookmarkStart w:id="118" w:name="DS_REPEAT_separable_portions"/>
    <w:p>
      <w:pPr>
        <w:pStyle w:val="TableLabel"/>
      </w:pPr>
      <w:r>
        <w:t>Separable Portion ${item.no}: ${item.description}</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keepNext/>
            </w:pPr>
            <w:r>
              <w:t>Date for Practical Completion</w:t>
            </w:r>
          </w:p>
        </w:tc>
        <w:tc>
          <w:tcPr>
            <w:tcW w:type="dxa" w:w="5953"/>
          </w:tcPr>
          <w:p>
            <w:pPr>
              <w:pStyle w:val="TableText"/>
              <w:keepNext/>
            </w:pPr>
            <w:r>
              <w:t>${item.pc_date}</w:t>
            </w:r>
          </w:p>
        </w:tc>
      </w:tr>
      <w:tr>
        <w:trPr>
          <w:cantSplit/>
        </w:trPr>
        <w:tc>
          <w:tcPr>
            <w:tcW w:type="dxa" w:w="3118"/>
          </w:tcPr>
          <w:p>
            <w:pPr>
              <w:pStyle w:val="TableLabel"/>
              <w:keepNext/>
            </w:pPr>
            <w:r>
              <w:t>Liquidated damages</w:t>
            </w:r>
          </w:p>
        </w:tc>
        <w:tc>
          <w:tcPr>
            <w:tcW w:type="dxa" w:w="5953"/>
          </w:tcPr>
          <w:p>
            <w:pPr>
              <w:pStyle w:val="TableText"/>
              <w:keepNext/>
            </w:pPr>
            <w:r>
              <w:t>${item.ld_rate} per day</w:t>
            </w:r>
          </w:p>
        </w:tc>
      </w:tr>
      <w:tr>
        <w:trPr>
          <w:cantSplit/>
        </w:trPr>
        <w:tc>
          <w:tcPr>
            <w:tcW w:type="dxa" w:w="3118"/>
          </w:tcPr>
          <w:p>
            <w:pPr>
              <w:pStyle w:val="TableLabel"/>
            </w:pPr>
            <w:r>
              <w:t>Security</w:t>
            </w:r>
          </w:p>
        </w:tc>
        <w:tc>
          <w:tcPr>
            <w:tcW w:type="dxa" w:w="5953"/>
          </w:tcPr>
          <w:p>
            <w:pPr>
              <w:pStyle w:val="TableText"/>
            </w:pPr>
            <w:r>
              <w:t>${item.security}</w:t>
            </w:r>
          </w:p>
        </w:tc>
      </w:tr>
    </w:tbl>
    <w:p>
      <w:pPr>
        <w:pStyle w:val="ItemText"/>
      </w:pPr>
    </w:p>
    <w:bookmarkEnd w:id="118"/>
    <w:p>
      <w:pPr>
        <w:pStyle w:val="ItemHeading"/>
      </w:pPr>
      <w:r>
        <w:t>Item 9  Design  (clause 5)</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pPr>
            <w:r>
              <w:t>Do the design clauses (clause 5 and Schedule 1) apply?</w:t>
            </w:r>
          </w:p>
        </w:tc>
        <w:tc>
          <w:tcPr>
            <w:tcW w:type="dxa" w:w="5953"/>
          </w:tcPr>
          <w:p>
            <w:pPr>
              <w:pStyle w:val="TableText"/>
            </w:pPr>
            <w:r>
              <w:t>${check.design_clauses_apply.True} Yes     ${check.design_clauses_apply.False} No</w:t>
            </w:r>
          </w:p>
        </w:tc>
      </w:tr>
    </w:tbl>
    <w:p>
      <w:pPr>
        <w:pStyle w:val="ItemHeading"/>
      </w:pPr>
      <w:r>
        <w:t>Item 10  Liquidated damages  (clause 13)</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keepNext/>
            </w:pPr>
            <w:bookmarkStart w:id="119" w:name="DS_PART_item10_ld"/>
            <w:r>
              <w:t>Liquidated damages</w:t>
            </w:r>
          </w:p>
        </w:tc>
        <w:tc>
          <w:tcPr>
            <w:tcW w:type="dxa" w:w="5953"/>
          </w:tcPr>
          <w:p>
            <w:pPr>
              <w:pStyle w:val="TableText"/>
              <w:keepNext/>
            </w:pPr>
            <w:r>
              <w:t>${liquidated_damages_rate} per day</w:t>
            </w:r>
          </w:p>
        </w:tc>
      </w:tr>
      <w:tr>
        <w:trPr>
          <w:cantSplit/>
        </w:trPr>
        <w:tc>
          <w:tcPr>
            <w:tcW w:type="dxa" w:w="3118"/>
          </w:tcPr>
          <w:p>
            <w:pPr>
              <w:pStyle w:val="TableLabel"/>
            </w:pPr>
            <w:r>
              <w:t>Limit</w:t>
            </w:r>
          </w:p>
        </w:tc>
        <w:tc>
          <w:tcPr>
            <w:tcW w:type="dxa" w:w="5953"/>
          </w:tcPr>
          <w:p>
            <w:pPr>
              <w:pStyle w:val="TableText"/>
            </w:pPr>
            <w:r>
              <w:t>${liquidated_damages_cap} in total</w:t>
            </w:r>
            <w:bookmarkEnd w:id="119"/>
          </w:p>
        </w:tc>
      </w:tr>
    </w:tbl>
    <w:p>
      <w:pPr>
        <w:pStyle w:val="ItemHeading"/>
      </w:pPr>
      <w:r>
        <w:t>Item 11  Progress claims and payment  (clause 15)</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keepNext/>
            </w:pPr>
            <w:r>
              <w:t>Progress claims</w:t>
            </w:r>
          </w:p>
        </w:tc>
        <w:tc>
          <w:tcPr>
            <w:tcW w:type="dxa" w:w="5953"/>
          </w:tcPr>
          <w:p>
            <w:pPr>
              <w:pStyle w:val="TableText"/>
              <w:keepNext/>
            </w:pPr>
            <w:r>
              <w:t>${progress_claim_timing}</w:t>
            </w:r>
          </w:p>
        </w:tc>
      </w:tr>
      <w:tr>
        <w:trPr>
          <w:cantSplit/>
        </w:trPr>
        <w:tc>
          <w:tcPr>
            <w:tcW w:type="dxa" w:w="3118"/>
          </w:tcPr>
          <w:p>
            <w:pPr>
              <w:pStyle w:val="TableLabel"/>
              <w:keepNext/>
            </w:pPr>
            <w:r>
              <w:t>Time for payment</w:t>
            </w:r>
          </w:p>
        </w:tc>
        <w:tc>
          <w:tcPr>
            <w:tcW w:type="dxa" w:w="5953"/>
          </w:tcPr>
          <w:p>
            <w:pPr>
              <w:pStyle w:val="TableText"/>
              <w:keepNext/>
            </w:pPr>
            <w:r>
              <w:t>${payment_time}</w:t>
            </w:r>
          </w:p>
        </w:tc>
      </w:tr>
      <w:tr>
        <w:trPr>
          <w:cantSplit/>
        </w:trPr>
        <w:tc>
          <w:tcPr>
            <w:tcW w:type="dxa" w:w="3118"/>
          </w:tcPr>
          <w:p>
            <w:pPr>
              <w:pStyle w:val="TableLabel"/>
            </w:pPr>
            <w:r>
              <w:t>Statutory declaration with each claim (Schedule 6)</w:t>
            </w:r>
          </w:p>
        </w:tc>
        <w:tc>
          <w:tcPr>
            <w:tcW w:type="dxa" w:w="5953"/>
          </w:tcPr>
          <w:p>
            <w:pPr>
              <w:pStyle w:val="TableText"/>
            </w:pPr>
            <w:r>
              <w:t>${check.statutory_declaration_required.True} Required     ${check.statutory_declaration_required.False} Not required</w:t>
            </w:r>
          </w:p>
        </w:tc>
      </w:tr>
    </w:tbl>
    <w:p>
      <w:pPr>
        <w:pStyle w:val="ItemHeading"/>
      </w:pPr>
      <w:r>
        <w:t>Item 12  Security  (clause 6)</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keepNext/>
            </w:pPr>
            <w:r>
              <w:t>Form of security</w:t>
            </w:r>
          </w:p>
        </w:tc>
        <w:tc>
          <w:tcPr>
            <w:tcW w:type="dxa" w:w="5953"/>
          </w:tcPr>
          <w:p>
            <w:pPr>
              <w:pStyle w:val="TableText"/>
              <w:keepNext/>
            </w:pPr>
            <w:r>
              <w:t>${check.security_form.retention} Retention</w:t>
            </w:r>
          </w:p>
          <w:p>
            <w:pPr>
              <w:pStyle w:val="TableText"/>
              <w:keepNext/>
            </w:pPr>
            <w:r>
              <w:t>${check.security_form.bank_guarantee} Bank guarantee or unconditional undertaking (Schedule 5)</w:t>
            </w:r>
          </w:p>
          <w:p>
            <w:pPr>
              <w:pStyle w:val="TableText"/>
              <w:keepNext/>
            </w:pPr>
            <w:r>
              <w:t>${check.security_form.retention_and_bank_guarantee} Retention and a bank guarantee or unconditional undertaking</w:t>
            </w:r>
          </w:p>
          <w:p>
            <w:pPr>
              <w:pStyle w:val="TableText"/>
              <w:keepNext/>
            </w:pPr>
            <w:r>
              <w:t>${check.security_form.not_applicable} Not applicable</w:t>
            </w:r>
          </w:p>
        </w:tc>
      </w:tr>
      <w:tr>
        <w:trPr>
          <w:cantSplit/>
        </w:trPr>
        <w:tc>
          <w:tcPr>
            <w:tcW w:type="dxa" w:w="3118"/>
          </w:tcPr>
          <w:p>
            <w:pPr>
              <w:pStyle w:val="TableLabel"/>
              <w:keepNext/>
            </w:pPr>
            <w:r>
              <w:t>Amount</w:t>
            </w:r>
          </w:p>
        </w:tc>
        <w:tc>
          <w:tcPr>
            <w:tcW w:type="dxa" w:w="5953"/>
          </w:tcPr>
          <w:p>
            <w:pPr>
              <w:pStyle w:val="TableText"/>
              <w:keepNext/>
            </w:pPr>
            <w:r>
              <w:t>${security_amount}</w:t>
            </w:r>
          </w:p>
        </w:tc>
      </w:tr>
      <w:tr>
        <w:trPr>
          <w:cantSplit/>
        </w:trPr>
        <w:tc>
          <w:tcPr>
            <w:tcW w:type="dxa" w:w="3118"/>
          </w:tcPr>
          <w:p>
            <w:pPr>
              <w:pStyle w:val="TableLabel"/>
            </w:pPr>
            <w:r>
              <w:t>Release</w:t>
            </w:r>
          </w:p>
        </w:tc>
        <w:tc>
          <w:tcPr>
            <w:tcW w:type="dxa" w:w="5953"/>
          </w:tcPr>
          <w:p>
            <w:pPr>
              <w:pStyle w:val="TableText"/>
            </w:pPr>
            <w:r>
              <w:t>${security_release}</w:t>
            </w:r>
          </w:p>
        </w:tc>
      </w:tr>
    </w:tbl>
    <w:p>
      <w:pPr>
        <w:pStyle w:val="ItemHeading"/>
      </w:pPr>
      <w:r>
        <w:t>Item 13  Insurance  (clause 7)</w:t>
      </w:r>
    </w:p>
    <w:tbl>
      <w:tblPr>
        <w:tblStyle w:val="TableGrid"/>
        <w:tblW w:type="auto" w:w="0"/>
        <w:jc w:val="left"/>
        <w:tblLayout w:type="fixed"/>
        <w:tblLook w:firstColumn="1" w:firstRow="1" w:lastColumn="0" w:lastRow="0" w:noHBand="0" w:noVBand="1" w:val="04A0"/>
      </w:tblPr>
      <w:tblGrid>
        <w:gridCol w:w="2835"/>
        <w:gridCol w:w="2551"/>
        <w:gridCol w:w="3685"/>
      </w:tblGrid>
      <w:tr>
        <w:trPr>
          <w:tblHeader/>
          <w:cantSplit/>
        </w:trPr>
        <w:tc>
          <w:tcPr>
            <w:tcW w:type="dxa" w:w="2835"/>
            <w:shd w:val="clear" w:color="auto" w:fill="D9E2F3"/>
          </w:tcPr>
          <w:p>
            <w:pPr>
              <w:pStyle w:val="TableLabel"/>
              <w:keepNext/>
            </w:pPr>
            <w:r>
              <w:t>Insurance</w:t>
            </w:r>
          </w:p>
        </w:tc>
        <w:tc>
          <w:tcPr>
            <w:tcW w:type="dxa" w:w="2551"/>
            <w:shd w:val="clear" w:color="auto" w:fill="D9E2F3"/>
          </w:tcPr>
          <w:p>
            <w:pPr>
              <w:pStyle w:val="TableLabel"/>
              <w:keepNext/>
            </w:pPr>
            <w:r>
              <w:t>Minimum amount</w:t>
            </w:r>
          </w:p>
        </w:tc>
        <w:tc>
          <w:tcPr>
            <w:tcW w:type="dxa" w:w="3685"/>
            <w:shd w:val="clear" w:color="auto" w:fill="D9E2F3"/>
          </w:tcPr>
          <w:p>
            <w:pPr>
              <w:pStyle w:val="TableLabel"/>
              <w:keepNext/>
            </w:pPr>
            <w:r>
              <w:t>Notes</w:t>
            </w:r>
          </w:p>
        </w:tc>
      </w:tr>
      <w:tr>
        <w:trPr>
          <w:cantSplit/>
        </w:trPr>
        <w:tc>
          <w:tcPr>
            <w:tcW w:type="dxa" w:w="2835"/>
          </w:tcPr>
          <w:p>
            <w:pPr>
              <w:pStyle w:val="TableLabel"/>
              <w:keepNext/>
            </w:pPr>
            <w:r>
              <w:t>Public liability</w:t>
            </w:r>
          </w:p>
        </w:tc>
        <w:tc>
          <w:tcPr>
            <w:tcW w:type="dxa" w:w="2551"/>
          </w:tcPr>
          <w:p>
            <w:pPr>
              <w:pStyle w:val="TableText"/>
              <w:keepNext/>
            </w:pPr>
            <w:r>
              <w:t>${public_liability_amount}</w:t>
            </w:r>
          </w:p>
        </w:tc>
        <w:tc>
          <w:tcPr>
            <w:tcW w:type="dxa" w:w="3685"/>
          </w:tcPr>
          <w:p>
            <w:pPr>
              <w:pStyle w:val="TableText"/>
              <w:keepNext/>
            </w:pPr>
            <w:r>
              <w:t>For any one occurrence</w:t>
            </w:r>
          </w:p>
        </w:tc>
      </w:tr>
      <w:tr>
        <w:trPr>
          <w:cantSplit/>
        </w:trPr>
        <w:tc>
          <w:tcPr>
            <w:tcW w:type="dxa" w:w="2835"/>
          </w:tcPr>
          <w:p>
            <w:pPr>
              <w:pStyle w:val="TableLabel"/>
              <w:keepNext/>
            </w:pPr>
            <w:r>
              <w:t>Workers compensation</w:t>
            </w:r>
          </w:p>
        </w:tc>
        <w:tc>
          <w:tcPr>
            <w:tcW w:type="dxa" w:w="2551"/>
          </w:tcPr>
          <w:p>
            <w:pPr>
              <w:pStyle w:val="TableText"/>
              <w:keepNext/>
            </w:pPr>
            <w:r>
              <w:t>As required by law</w:t>
            </w:r>
          </w:p>
        </w:tc>
        <w:tc>
          <w:tcPr>
            <w:tcW w:type="dxa" w:w="3685"/>
          </w:tcPr>
          <w:p>
            <w:pPr>
              <w:pStyle w:val="TableText"/>
              <w:keepNext/>
            </w:pPr>
            <w:r>
              <w:t>Throughout the Subcontract</w:t>
            </w:r>
          </w:p>
        </w:tc>
      </w:tr>
      <w:tr>
        <w:trPr>
          <w:cantSplit/>
        </w:trPr>
        <w:tc>
          <w:tcPr>
            <w:tcW w:type="dxa" w:w="2835"/>
          </w:tcPr>
          <w:p>
            <w:pPr>
              <w:pStyle w:val="TableLabel"/>
              <w:keepNext/>
            </w:pPr>
            <w:bookmarkStart w:id="120" w:name="DS_PART_pi_insurance"/>
            <w:r>
              <w:t>Professional indemnity</w:t>
            </w:r>
          </w:p>
        </w:tc>
        <w:tc>
          <w:tcPr>
            <w:tcW w:type="dxa" w:w="2551"/>
          </w:tcPr>
          <w:p>
            <w:pPr>
              <w:pStyle w:val="TableText"/>
              <w:keepNext/>
            </w:pPr>
            <w:r>
              <w:t>${professional_indemnity_amount}</w:t>
            </w:r>
          </w:p>
        </w:tc>
        <w:tc>
          <w:tcPr>
            <w:tcW w:type="dxa" w:w="3685"/>
          </w:tcPr>
          <w:p>
            <w:pPr>
              <w:pStyle w:val="TableText"/>
              <w:keepNext/>
            </w:pPr>
            <w:r>
              <w:t>For each claim, kept for 6 years after Practical Completion</w:t>
            </w:r>
            <w:bookmarkEnd w:id="120"/>
          </w:p>
        </w:tc>
      </w:tr>
      <w:tr>
        <w:trPr>
          <w:cantSplit/>
        </w:trPr>
        <w:tc>
          <w:tcPr>
            <w:tcW w:type="dxa" w:w="2835"/>
          </w:tcPr>
          <w:p>
            <w:pPr>
              <w:pStyle w:val="TableLabel"/>
            </w:pPr>
            <w:r>
              <w:t>${row.other_insurances.insurance}</w:t>
            </w:r>
          </w:p>
        </w:tc>
        <w:tc>
          <w:tcPr>
            <w:tcW w:type="dxa" w:w="2551"/>
          </w:tcPr>
          <w:p>
            <w:pPr>
              <w:pStyle w:val="TableText"/>
            </w:pPr>
            <w:r>
              <w:t>${row.other_insurances.amount}</w:t>
            </w:r>
          </w:p>
        </w:tc>
        <w:tc>
          <w:tcPr>
            <w:tcW w:type="dxa" w:w="3685"/>
          </w:tcPr>
          <w:p>
            <w:pPr>
              <w:pStyle w:val="TableText"/>
            </w:pPr>
            <w:r>
              <w:t>${row.other_insurances.notes}</w:t>
            </w:r>
          </w:p>
        </w:tc>
      </w:tr>
    </w:tbl>
    <w:p>
      <w:pPr>
        <w:pStyle w:val="ItemHeading"/>
      </w:pPr>
      <w:r>
        <w:t>Item 14  Key personnel  (clause 9)</w:t>
      </w:r>
    </w:p>
    <w:p>
      <w:pPr>
        <w:pStyle w:val="ItemText"/>
      </w:pPr>
      <w:r>
        <w:t>The Subcontractor’s key personnel are:</w:t>
      </w:r>
    </w:p>
    <w:p>
      <w:pPr>
        <w:pStyle w:val="BodyIndent"/>
      </w:pPr>
      <w:r>
        <w:t>${list.key_personnel}</w:t>
      </w:r>
    </w:p>
    <w:p>
      <w:pPr>
        <w:pStyle w:val="ItemHeading"/>
      </w:pPr>
      <w:r>
        <w:t>Item 15  Documents the Contractor provides  (clause 4)</w:t>
      </w:r>
    </w:p>
    <w:p>
      <w:pPr>
        <w:pStyle w:val="BodyIndent"/>
      </w:pPr>
      <w:r>
        <w:t>${list.contractor_documents}</w:t>
      </w:r>
    </w:p>
    <w:p>
      <w:pPr>
        <w:pStyle w:val="ItemHeading"/>
      </w:pPr>
      <w:r>
        <w:t>Item 16  Documents the Subcontractor provides  (clause 4 and 16)</w:t>
      </w:r>
    </w:p>
    <w:tbl>
      <w:tblPr>
        <w:tblStyle w:val="TableGrid"/>
        <w:tblW w:type="auto" w:w="0"/>
        <w:jc w:val="left"/>
        <w:tblLayout w:type="fixed"/>
        <w:tblLook w:firstColumn="1" w:firstRow="1" w:lastColumn="0" w:lastRow="0" w:noHBand="0" w:noVBand="1" w:val="04A0"/>
      </w:tblPr>
      <w:tblGrid>
        <w:gridCol w:w="3969"/>
        <w:gridCol w:w="1417"/>
        <w:gridCol w:w="3685"/>
      </w:tblGrid>
      <w:tr>
        <w:trPr>
          <w:tblHeader/>
          <w:cantSplit/>
        </w:trPr>
        <w:tc>
          <w:tcPr>
            <w:tcW w:type="dxa" w:w="3969"/>
            <w:shd w:val="clear" w:color="auto" w:fill="D9E2F3"/>
          </w:tcPr>
          <w:p>
            <w:pPr>
              <w:pStyle w:val="TableLabel"/>
              <w:keepNext/>
            </w:pPr>
            <w:r>
              <w:t>Document</w:t>
            </w:r>
          </w:p>
        </w:tc>
        <w:tc>
          <w:tcPr>
            <w:tcW w:type="dxa" w:w="1417"/>
            <w:shd w:val="clear" w:color="auto" w:fill="D9E2F3"/>
          </w:tcPr>
          <w:p>
            <w:pPr>
              <w:pStyle w:val="TableLabel"/>
              <w:keepNext/>
            </w:pPr>
            <w:r>
              <w:t>Copies</w:t>
            </w:r>
          </w:p>
        </w:tc>
        <w:tc>
          <w:tcPr>
            <w:tcW w:type="dxa" w:w="3685"/>
            <w:shd w:val="clear" w:color="auto" w:fill="D9E2F3"/>
          </w:tcPr>
          <w:p>
            <w:pPr>
              <w:pStyle w:val="TableLabel"/>
              <w:keepNext/>
            </w:pPr>
            <w:r>
              <w:t>When</w:t>
            </w:r>
          </w:p>
        </w:tc>
      </w:tr>
      <w:tr>
        <w:trPr>
          <w:cantSplit/>
        </w:trPr>
        <w:tc>
          <w:tcPr>
            <w:tcW w:type="dxa" w:w="3969"/>
          </w:tcPr>
          <w:p>
            <w:pPr>
              <w:pStyle w:val="TableText"/>
            </w:pPr>
            <w:r>
              <w:t>${row.subcontractor_documents.document}</w:t>
            </w:r>
          </w:p>
        </w:tc>
        <w:tc>
          <w:tcPr>
            <w:tcW w:type="dxa" w:w="1417"/>
          </w:tcPr>
          <w:p>
            <w:pPr>
              <w:pStyle w:val="TableText"/>
            </w:pPr>
            <w:r>
              <w:t>${row.subcontractor_documents.copies}</w:t>
            </w:r>
          </w:p>
        </w:tc>
        <w:tc>
          <w:tcPr>
            <w:tcW w:type="dxa" w:w="3685"/>
          </w:tcPr>
          <w:p>
            <w:pPr>
              <w:pStyle w:val="TableText"/>
            </w:pPr>
            <w:r>
              <w:t>${row.subcontractor_documents.time_or_stage}</w:t>
            </w:r>
          </w:p>
        </w:tc>
      </w:tr>
    </w:tbl>
    <w:p>
      <w:pPr>
        <w:pStyle w:val="ItemHeading"/>
      </w:pPr>
      <w:r>
        <w:t>Item 17  Variations  (clause 14)</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pPr>
            <w:r>
              <w:t>Margin on the cost of materials supplied</w:t>
            </w:r>
          </w:p>
        </w:tc>
        <w:tc>
          <w:tcPr>
            <w:tcW w:type="dxa" w:w="5953"/>
          </w:tcPr>
          <w:p>
            <w:pPr>
              <w:pStyle w:val="TableText"/>
            </w:pPr>
            <w:r>
              <w:t>${variation_margin_percent}</w:t>
            </w:r>
          </w:p>
        </w:tc>
      </w:tr>
    </w:tbl>
    <w:p>
      <w:pPr>
        <w:pStyle w:val="ItemHeading"/>
      </w:pPr>
      <w:r>
        <w:t>Item 18  Notices and electronic documents  (clause 18)</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pPr>
            <w:r>
              <w:t>Electronic document management system</w:t>
            </w:r>
          </w:p>
        </w:tc>
        <w:tc>
          <w:tcPr>
            <w:tcW w:type="dxa" w:w="5953"/>
          </w:tcPr>
          <w:p>
            <w:pPr>
              <w:pStyle w:val="TableText"/>
            </w:pPr>
            <w:r>
              <w:t>${check.edms.deep_space} Deep Space</w:t>
            </w:r>
          </w:p>
          <w:p>
            <w:pPr>
              <w:pStyle w:val="TableText"/>
            </w:pPr>
            <w:r>
              <w:t>${check.edms.email} Not applicable: documents are given by email</w:t>
            </w:r>
          </w:p>
        </w:tc>
      </w:tr>
    </w:tbl>
    <w:p>
      <w:pPr>
        <w:pStyle w:val="ItemHeading"/>
      </w:pPr>
      <w:r>
        <w:t>Item 19  Disputes  (clause 19)</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pPr>
            <w:r>
              <w:t>Mediator nominated by</w:t>
            </w:r>
          </w:p>
        </w:tc>
        <w:tc>
          <w:tcPr>
            <w:tcW w:type="dxa" w:w="5953"/>
          </w:tcPr>
          <w:p>
            <w:pPr>
              <w:pStyle w:val="TableText"/>
            </w:pPr>
            <w:r>
              <w:t>${dispute_nominator}</w:t>
            </w:r>
          </w:p>
        </w:tc>
      </w:tr>
    </w:tbl>
    <w:p>
      <w:pPr>
        <w:pStyle w:val="ItemHeading"/>
      </w:pPr>
      <w:r>
        <w:t>Item 20  Governing law  (clause 23)</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pPr>
            <w:r>
              <w:t>Law of</w:t>
            </w:r>
          </w:p>
        </w:tc>
        <w:tc>
          <w:tcPr>
            <w:tcW w:type="dxa" w:w="5953"/>
          </w:tcPr>
          <w:p>
            <w:pPr>
              <w:pStyle w:val="TableText"/>
            </w:pPr>
            <w:r>
              <w:t>${governing_law}</w:t>
            </w:r>
          </w:p>
        </w:tc>
      </w:tr>
    </w:tbl>
    <w:p>
      <w:pPr>
        <w:pStyle w:val="ItemHeading"/>
      </w:pPr>
      <w:r>
        <w:t>Item 21  Security of payment legislation  (clause 15)</w:t>
      </w:r>
    </w:p>
    <w:tbl>
      <w:tblPr>
        <w:tblStyle w:val="TableGrid"/>
        <w:tblW w:type="auto" w:w="0"/>
        <w:jc w:val="left"/>
        <w:tblLayout w:type="fixed"/>
        <w:tblLook w:firstColumn="1" w:firstRow="1" w:lastColumn="0" w:lastRow="0" w:noHBand="0" w:noVBand="1" w:val="04A0"/>
      </w:tblPr>
      <w:tblGrid>
        <w:gridCol w:w="3118"/>
        <w:gridCol w:w="5953"/>
      </w:tblGrid>
      <w:tr>
        <w:trPr>
          <w:cantSplit/>
        </w:trPr>
        <w:tc>
          <w:tcPr>
            <w:tcW w:type="dxa" w:w="3118"/>
          </w:tcPr>
          <w:p>
            <w:pPr>
              <w:pStyle w:val="TableLabel"/>
            </w:pPr>
            <w:r>
              <w:t>Legislation</w:t>
            </w:r>
          </w:p>
        </w:tc>
        <w:tc>
          <w:tcPr>
            <w:tcW w:type="dxa" w:w="5953"/>
          </w:tcPr>
          <w:p>
            <w:pPr>
              <w:pStyle w:val="TableText"/>
            </w:pPr>
            <w:r>
              <w:t>${security_of_payment_act}</w:t>
            </w:r>
          </w:p>
        </w:tc>
      </w:tr>
    </w:tbl>
    <w:p>
      <w:pPr>
        <w:pStyle w:val="Heading1"/>
      </w:pPr>
      <w:bookmarkStart w:id="121" w:name="_Toc900004"/>
      <w:r>
        <w:t>Part 4 – General Conditions</w:t>
      </w:r>
      <w:bookmarkEnd w:id="121"/>
    </w:p>
    <w:p>
      <w:pPr>
        <w:pStyle w:val="Heading2"/>
      </w:pPr>
      <w:bookmarkStart w:id="122" w:name="_Toc900005"/>
      <w:r>
        <w:t>Definitions and interpretation</w:t>
      </w:r>
      <w:bookmarkEnd w:id="122"/>
    </w:p>
    <w:p>
      <w:pPr>
        <w:pStyle w:val="ClauseLevel2"/>
      </w:pPr>
      <w:r>
        <w:t>In this Subcontract, unless the context requires otherwise:</w:t>
      </w:r>
    </w:p>
    <w:p>
      <w:pPr>
        <w:pStyle w:val="ClauseLevel3"/>
      </w:pPr>
      <w:r>
        <w:rPr>
          <w:b/>
        </w:rPr>
        <w:t>Business Day</w:t>
      </w:r>
      <w:r>
        <w:t xml:space="preserve"> means a day other than a Saturday, Sunday or public holiday in the place where the Site is located;</w:t>
      </w:r>
    </w:p>
    <w:p>
      <w:pPr>
        <w:pStyle w:val="ClauseLevel3"/>
      </w:pPr>
      <w:r>
        <w:rPr>
          <w:b/>
        </w:rPr>
        <w:t>Contract Program</w:t>
      </w:r>
      <w:r>
        <w:t xml:space="preserve"> means the program in Schedule 3, as updated under clause 11;</w:t>
      </w:r>
    </w:p>
    <w:p>
      <w:pPr>
        <w:pStyle w:val="ClauseLevel3"/>
      </w:pPr>
      <w:r>
        <w:rPr>
          <w:b/>
        </w:rPr>
        <w:t>Contractor and Subcontractor</w:t>
      </w:r>
      <w:r>
        <w:t xml:space="preserve"> mean the parties named in Items 1 and 2;</w:t>
      </w:r>
    </w:p>
    <w:p>
      <w:pPr>
        <w:pStyle w:val="ClauseLevel3"/>
      </w:pPr>
      <w:r>
        <w:rPr>
          <w:b/>
        </w:rPr>
        <w:t>Date for Practical Completion</w:t>
      </w:r>
      <w:r>
        <w:t xml:space="preserve"> means the date stated or worked out under Item 7, as extended under this Subcontract;</w:t>
      </w:r>
    </w:p>
    <w:p>
      <w:pPr>
        <w:pStyle w:val="ClauseLevel3"/>
      </w:pPr>
      <w:r>
        <w:rPr>
          <w:b/>
        </w:rPr>
        <w:t>Defects Liability Period</w:t>
      </w:r>
      <w:r>
        <w:t xml:space="preserve"> means the period stated in Item 7;</w:t>
      </w:r>
    </w:p>
    <w:p>
      <w:pPr>
        <w:pStyle w:val="ClauseLevel3"/>
      </w:pPr>
      <w:r>
        <w:rPr>
          <w:b/>
        </w:rPr>
        <w:t>Head Contract</w:t>
      </w:r>
      <w:r>
        <w:t xml:space="preserve"> means the contract between the Contractor and the Principal for the Project;</w:t>
      </w:r>
    </w:p>
    <w:p>
      <w:pPr>
        <w:pStyle w:val="ClauseLevel3"/>
      </w:pPr>
      <w:r>
        <w:rPr>
          <w:b/>
        </w:rPr>
        <w:t>Site</w:t>
      </w:r>
      <w:r>
        <w:t xml:space="preserve"> means the site described in Item 5;</w:t>
      </w:r>
    </w:p>
    <w:p>
      <w:pPr>
        <w:pStyle w:val="ClauseLevel3"/>
      </w:pPr>
      <w:r>
        <w:rPr>
          <w:b/>
        </w:rPr>
        <w:t>Subcontract</w:t>
      </w:r>
      <w:r>
        <w:t xml:space="preserve"> means the documents listed in the Agreement;</w:t>
      </w:r>
    </w:p>
    <w:p>
      <w:pPr>
        <w:pStyle w:val="ClauseLevel3"/>
      </w:pPr>
      <w:r>
        <w:rPr>
          <w:b/>
        </w:rPr>
        <w:t>Subcontract Sum</w:t>
      </w:r>
      <w:r>
        <w:t xml:space="preserve"> means the amount stated in Item 6, as adjusted under this Subcontract;</w:t>
      </w:r>
    </w:p>
    <w:p>
      <w:pPr>
        <w:pStyle w:val="ClauseLevel3"/>
      </w:pPr>
      <w:r>
        <w:rPr>
          <w:b/>
        </w:rPr>
        <w:t>Subcontract Works</w:t>
      </w:r>
      <w:r>
        <w:t xml:space="preserve"> means the work described in the Scope of Works (Schedule 2), including Variations; and</w:t>
      </w:r>
    </w:p>
    <w:p>
      <w:pPr>
        <w:pStyle w:val="ClauseLevel3"/>
      </w:pPr>
      <w:r>
        <w:rPr>
          <w:b/>
        </w:rPr>
        <w:t>Variation</w:t>
      </w:r>
      <w:r>
        <w:t xml:space="preserve"> means a change to the Subcontract Works directed under clause 14.</w:t>
      </w:r>
    </w:p>
    <w:p>
      <w:pPr>
        <w:pStyle w:val="ClauseLevel2"/>
      </w:pPr>
      <w:r>
        <w:t>Headings are for convenience only. The singular includes the plural and the other way round. The word “including” does not limit what comes before it. A reference to legislation includes that legislation as amended or replaced.</w:t>
      </w:r>
    </w:p>
    <w:p>
      <w:pPr>
        <w:pStyle w:val="ClauseLevel2"/>
      </w:pPr>
      <w:r>
        <w:t>If the documents forming the Subcontract are inconsistent, they take priority in this order:</w:t>
      </w:r>
    </w:p>
    <w:p>
      <w:pPr>
        <w:pStyle w:val="ClauseLevel3"/>
      </w:pPr>
      <w:r>
        <w:t>the Special Conditions;</w:t>
      </w:r>
    </w:p>
    <w:p>
      <w:pPr>
        <w:pStyle w:val="ClauseLevel3"/>
      </w:pPr>
      <w:r>
        <w:t>the Subcontract Particulars;</w:t>
      </w:r>
    </w:p>
    <w:p>
      <w:pPr>
        <w:pStyle w:val="ClauseLevel3"/>
      </w:pPr>
      <w:r>
        <w:t>these General Conditions; and</w:t>
      </w:r>
    </w:p>
    <w:p>
      <w:pPr>
        <w:pStyle w:val="ClauseLevel3"/>
      </w:pPr>
      <w:r>
        <w:t>the Schedules.</w:t>
      </w:r>
    </w:p>
    <w:p>
      <w:pPr>
        <w:pStyle w:val="Heading2"/>
      </w:pPr>
      <w:bookmarkStart w:id="123" w:name="_Toc900006"/>
      <w:r>
        <w:t>Engagement and scope</w:t>
      </w:r>
      <w:bookmarkEnd w:id="123"/>
    </w:p>
    <w:p>
      <w:pPr>
        <w:pStyle w:val="ClauseLevel2"/>
      </w:pPr>
      <w:r>
        <w:t>The Subcontractor must carry out and complete the Subcontract Works in accordance with the Subcontract, the reasonable directions of the Contractor’s Representative and all applicable laws.</w:t>
      </w:r>
    </w:p>
    <w:p>
      <w:pPr>
        <w:pStyle w:val="ClauseLevel2"/>
      </w:pPr>
      <w:r>
        <w:t>The Subcontractor must supply all labour, materials, plant and equipment needed for the Subcontract Works, except anything the Subcontract says the Contractor will supply.</w:t>
      </w:r>
    </w:p>
    <w:p>
      <w:pPr>
        <w:pStyle w:val="ClauseLevel2"/>
      </w:pPr>
      <w:r>
        <w:t>The Subcontractor acknowledges that it has inspected the Site and the documents listed in Item 15, and has allowed in the Subcontract Sum for the conditions it could reasonably have anticipated.</w:t>
      </w:r>
    </w:p>
    <w:p>
      <w:pPr>
        <w:pStyle w:val="Heading2"/>
      </w:pPr>
      <w:bookmarkStart w:id="124" w:name="_Toc900007"/>
      <w:r>
        <w:t>Representatives and directions</w:t>
      </w:r>
      <w:bookmarkEnd w:id="124"/>
    </w:p>
    <w:p>
      <w:pPr>
        <w:pStyle w:val="ClauseLevel2"/>
      </w:pPr>
      <w:r>
        <w:t>The Contractor’s Representative named in Item 1 may give directions to the Subcontractor about any matter connected with the Subcontract Works, and the Subcontractor must comply with them.</w:t>
      </w:r>
    </w:p>
    <w:p>
      <w:pPr>
        <w:pStyle w:val="ClauseLevel2"/>
      </w:pPr>
      <w:r>
        <w:t>The Subcontractor’s Representative named in Item 2 is authorised to receive directions and act for the Subcontractor in all matters connected with the Subcontract.</w:t>
      </w:r>
    </w:p>
    <w:p>
      <w:pPr>
        <w:pStyle w:val="ClauseLevel2"/>
      </w:pPr>
      <w:r>
        <w:t>A direction given orally must be confirmed in writing within 2 Business Days. Either party may replace its representative by written notice to the other.</w:t>
      </w:r>
    </w:p>
    <w:p>
      <w:pPr>
        <w:pStyle w:val="Heading2"/>
      </w:pPr>
      <w:bookmarkStart w:id="125" w:name="_Toc900008"/>
      <w:r>
        <w:t>Documents</w:t>
      </w:r>
      <w:bookmarkEnd w:id="125"/>
    </w:p>
    <w:p>
      <w:pPr>
        <w:pStyle w:val="ClauseLevel2"/>
      </w:pPr>
      <w:r>
        <w:t>The Contractor will give the Subcontractor the documents listed in Item 15.</w:t>
      </w:r>
    </w:p>
    <w:p>
      <w:pPr>
        <w:pStyle w:val="ClauseLevel2"/>
      </w:pPr>
      <w:r>
        <w:t>The Subcontractor must give the Contractor the documents listed in Item 16, in the numbers and at the times stated there.</w:t>
      </w:r>
    </w:p>
    <w:p>
      <w:pPr>
        <w:pStyle w:val="ClauseLevel2"/>
      </w:pPr>
      <w:r>
        <w:t>If the Subcontractor finds an ambiguity, discrepancy or inconsistency in the documents, it must promptly notify the Contractor’s Representative, who will direct the interpretation to follow.</w:t>
      </w:r>
    </w:p>
    <w:p>
      <w:pPr>
        <w:pStyle w:val="Heading2"/>
      </w:pPr>
      <w:bookmarkStart w:id="126" w:name="_Toc900009"/>
      <w:r>
        <w:t>Design</w:t>
      </w:r>
      <w:bookmarkEnd w:id="126"/>
    </w:p>
    <w:p>
      <w:pPr>
        <w:pStyle w:val="ClauseLevel2"/>
      </w:pPr>
      <w:r>
        <w:t>This clause applies only if Item 9 states that the design clauses apply.</w:t>
      </w:r>
    </w:p>
    <w:p>
      <w:pPr>
        <w:pStyle w:val="ClauseLevel2"/>
      </w:pPr>
      <w:r>
        <w:t>The Subcontractor must design the parts of the Subcontract Works described in Schedule 1 so that they comply with the Subcontract, applicable laws and standards, and are fit for the purposes stated in Schedule 1.</w:t>
      </w:r>
    </w:p>
    <w:p>
      <w:pPr>
        <w:pStyle w:val="ClauseLevel2"/>
      </w:pPr>
      <w:r>
        <w:t>The Subcontractor must submit its design documents for review at the times reasonably required by the Contractor. Review or comment by the Contractor does not relieve the Subcontractor of its obligations.</w:t>
      </w:r>
    </w:p>
    <w:p>
      <w:pPr>
        <w:pStyle w:val="ClauseLevel2"/>
      </w:pPr>
      <w:r>
        <w:t>The Subcontractor must hold the professional indemnity insurance stated in Item 13.</w:t>
      </w:r>
    </w:p>
    <w:p>
      <w:pPr>
        <w:pStyle w:val="Heading2"/>
      </w:pPr>
      <w:bookmarkStart w:id="127" w:name="_Toc900010"/>
      <w:r>
        <w:t>Security</w:t>
      </w:r>
      <w:bookmarkEnd w:id="127"/>
    </w:p>
    <w:p>
      <w:pPr>
        <w:pStyle w:val="ClauseLevel2"/>
      </w:pPr>
      <w:r>
        <w:t>The Subcontractor must provide security in the form and amount stated in Item 12.</w:t>
      </w:r>
    </w:p>
    <w:p>
      <w:pPr>
        <w:pStyle w:val="ClauseLevel2"/>
      </w:pPr>
      <w:r>
        <w:t>Where Item 12 provides for retention, the Contractor may deduct it from each payment at the rate stated in Item 12 until the total retained reaches the amount stated there.</w:t>
      </w:r>
    </w:p>
    <w:p>
      <w:pPr>
        <w:pStyle w:val="ClauseLevel2"/>
      </w:pPr>
      <w:r>
        <w:t>Where Item 12 provides for a bank guarantee or unconditional undertaking, it must meet the requirements of Schedule 5 and be given before the first payment is made.</w:t>
      </w:r>
    </w:p>
    <w:p>
      <w:pPr>
        <w:pStyle w:val="ClauseLevel2"/>
      </w:pPr>
      <w:r>
        <w:t>The Contractor may have recourse to security for any amount the Subcontractor owes it, after giving the Subcontractor 5 Business Days’ written notice.</w:t>
      </w:r>
    </w:p>
    <w:p>
      <w:pPr>
        <w:pStyle w:val="ClauseLevel2"/>
      </w:pPr>
      <w:r>
        <w:t>Unless Item 12 states otherwise, the Contractor will release half of the security within 20 Business Days after the Date of Practical Completion and the balance within 20 Business Days after the end of the Defects Liability Period, less any amounts it is entitled to retain.</w:t>
      </w:r>
    </w:p>
    <w:p>
      <w:pPr>
        <w:pStyle w:val="Heading2"/>
      </w:pPr>
      <w:bookmarkStart w:id="128" w:name="_Toc900011"/>
      <w:r>
        <w:t>Insurance</w:t>
      </w:r>
      <w:bookmarkEnd w:id="128"/>
    </w:p>
    <w:p>
      <w:pPr>
        <w:pStyle w:val="ClauseLevel2"/>
      </w:pPr>
      <w:r>
        <w:t>From the start of the Subcontract Works until the end of the Defects Liability Period, the Subcontractor must effect and maintain the insurances listed in Item 13, for at least the amounts stated there.</w:t>
      </w:r>
    </w:p>
    <w:p>
      <w:pPr>
        <w:pStyle w:val="ClauseLevel2"/>
      </w:pPr>
      <w:r>
        <w:t>The Subcontractor must give the Contractor evidence of those insurances before starting work on the Site and whenever the Contractor asks for it.</w:t>
      </w:r>
    </w:p>
    <w:p>
      <w:pPr>
        <w:pStyle w:val="ClauseLevel2"/>
      </w:pPr>
      <w:r>
        <w:t>The Subcontractor must notify the Contractor promptly if any of those insurances is cancelled or reduced.</w:t>
      </w:r>
    </w:p>
    <w:p>
      <w:pPr>
        <w:pStyle w:val="Heading2"/>
      </w:pPr>
      <w:bookmarkStart w:id="129" w:name="_Toc900012"/>
      <w:r>
        <w:t>Work health and safety and the Site</w:t>
      </w:r>
      <w:bookmarkEnd w:id="129"/>
    </w:p>
    <w:p>
      <w:pPr>
        <w:pStyle w:val="ClauseLevel2"/>
      </w:pPr>
      <w:r>
        <w:t>The Subcontractor must comply with all work health and safety laws, the Contractor’s site safety rules and any safety management plan the Contractor gives it.</w:t>
      </w:r>
    </w:p>
    <w:p>
      <w:pPr>
        <w:pStyle w:val="ClauseLevel2"/>
      </w:pPr>
      <w:r>
        <w:t>Before starting any high risk construction work, the Subcontractor must give the Contractor a safe work method statement for that work.</w:t>
      </w:r>
    </w:p>
    <w:p>
      <w:pPr>
        <w:pStyle w:val="ClauseLevel2"/>
      </w:pPr>
      <w:r>
        <w:t>The Subcontractor may only work on the Site during the working hours stated in Item 5, unless the Contractor’s Representative agrees otherwise in writing.</w:t>
      </w:r>
    </w:p>
    <w:p>
      <w:pPr>
        <w:pStyle w:val="ClauseLevel2"/>
      </w:pPr>
      <w:r>
        <w:t>The Subcontractor must keep its work areas clean and tidy and remove its rubbish regularly.</w:t>
      </w:r>
    </w:p>
    <w:p>
      <w:pPr>
        <w:pStyle w:val="Heading2"/>
      </w:pPr>
      <w:bookmarkStart w:id="130" w:name="_Toc900013"/>
      <w:r>
        <w:t>Personnel</w:t>
      </w:r>
      <w:bookmarkEnd w:id="130"/>
    </w:p>
    <w:p>
      <w:pPr>
        <w:pStyle w:val="ClauseLevel2"/>
      </w:pPr>
      <w:r>
        <w:t>The Subcontractor must make the key personnel listed in Item 14 available for the Subcontract Works and must not replace them without the Contractor’s consent, which will not be unreasonably withheld.</w:t>
      </w:r>
    </w:p>
    <w:p>
      <w:pPr>
        <w:pStyle w:val="ClauseLevel2"/>
      </w:pPr>
      <w:r>
        <w:t>The Contractor may direct the Subcontractor to remove from the Site any person who, in the Contractor’s reasonable opinion, is incompetent, careless or behaves unsafely.</w:t>
      </w:r>
    </w:p>
    <w:p>
      <w:pPr>
        <w:pStyle w:val="Heading2"/>
      </w:pPr>
      <w:bookmarkStart w:id="131" w:name="_Toc900014"/>
      <w:r>
        <w:t>Assignment and subcontracting</w:t>
      </w:r>
      <w:bookmarkEnd w:id="131"/>
    </w:p>
    <w:p>
      <w:pPr>
        <w:pStyle w:val="ClauseLevel2"/>
      </w:pPr>
      <w:r>
        <w:t>The Subcontractor must not assign the Subcontract, or subcontract any part of the Subcontract Works, without the Contractor’s prior written consent.</w:t>
      </w:r>
    </w:p>
    <w:p>
      <w:pPr>
        <w:pStyle w:val="Heading2"/>
      </w:pPr>
      <w:bookmarkStart w:id="132" w:name="_Toc900015"/>
      <w:r>
        <w:t>Program and progress</w:t>
      </w:r>
      <w:bookmarkEnd w:id="132"/>
    </w:p>
    <w:p>
      <w:pPr>
        <w:pStyle w:val="ClauseLevel2"/>
      </w:pPr>
      <w:r>
        <w:t>The Subcontractor must start the Subcontract Works on the Date for Commencement, proceed with them regularly and diligently, and reach Practical Completion by the Date for Practical Completion.</w:t>
      </w:r>
    </w:p>
    <w:p>
      <w:pPr>
        <w:pStyle w:val="ClauseLevel2"/>
      </w:pPr>
      <w:r>
        <w:t>The Subcontractor must carry out the Subcontract Works in accordance with the Contract Program. The Contractor may update the Contract Program from time to time and must give the Subcontractor a copy of each update.</w:t>
      </w:r>
    </w:p>
    <w:p>
      <w:pPr>
        <w:pStyle w:val="ClauseLevel2"/>
      </w:pPr>
      <w:r>
        <w:t>The Contractor may direct the order and timing in which the Subcontractor carries out the Subcontract Works.</w:t>
      </w:r>
    </w:p>
    <w:p>
      <w:pPr>
        <w:pStyle w:val="Heading2"/>
      </w:pPr>
      <w:bookmarkStart w:id="133" w:name="_Toc900016"/>
      <w:r>
        <w:t>Delay and extension of time</w:t>
      </w:r>
      <w:bookmarkEnd w:id="133"/>
    </w:p>
    <w:p>
      <w:pPr>
        <w:pStyle w:val="ClauseLevel2"/>
      </w:pPr>
      <w:r>
        <w:t>The Subcontractor must notify the Contractor’s Representative within 5 Business Days after it becomes aware of anything likely to delay the Subcontract Works, with details of the cause and the expected delay.</w:t>
      </w:r>
    </w:p>
    <w:p>
      <w:pPr>
        <w:pStyle w:val="ClauseLevel2"/>
      </w:pPr>
      <w:r>
        <w:t>The Subcontractor is entitled to an extension of the Date for Practical Completion for a delay to the Subcontract Works caused by:</w:t>
      </w:r>
    </w:p>
    <w:p>
      <w:pPr>
        <w:pStyle w:val="ClauseLevel3"/>
      </w:pPr>
      <w:r>
        <w:t>an act or omission of the Contractor or its other subcontractors;</w:t>
      </w:r>
    </w:p>
    <w:p>
      <w:pPr>
        <w:pStyle w:val="ClauseLevel3"/>
      </w:pPr>
      <w:r>
        <w:t>a Variation, unless the Variation was caused by the Subcontractor; or</w:t>
      </w:r>
    </w:p>
    <w:p>
      <w:pPr>
        <w:pStyle w:val="ClauseLevel3"/>
      </w:pPr>
      <w:r>
        <w:t>any other cause stated in the Special Conditions.</w:t>
      </w:r>
    </w:p>
    <w:p>
      <w:pPr>
        <w:pStyle w:val="ClauseLevel2"/>
      </w:pPr>
      <w:r>
        <w:t>To be entitled to an extension, the Subcontractor must claim it in writing within 10 Business Days after the delay ends.</w:t>
      </w:r>
    </w:p>
    <w:p>
      <w:pPr>
        <w:pStyle w:val="ClauseLevel2"/>
      </w:pPr>
      <w:r>
        <w:t>The Contractor’s Representative may extend the Date for Practical Completion at any time, whether or not the Subcontractor has claimed an extension.</w:t>
      </w:r>
    </w:p>
    <w:p>
      <w:pPr>
        <w:pStyle w:val="Heading2"/>
      </w:pPr>
      <w:bookmarkStart w:id="134" w:name="_Toc900017"/>
      <w:r>
        <w:t>Liquidated damages</w:t>
      </w:r>
      <w:bookmarkEnd w:id="134"/>
    </w:p>
    <w:p>
      <w:pPr>
        <w:pStyle w:val="ClauseLevel2"/>
      </w:pPr>
      <w:r>
        <w:t>If the Subcontractor does not reach Practical Completion by the Date for Practical Completion, it must pay the Contractor liquidated damages at the rate stated in Item 10 for every day after that date until it reaches Practical Completion, up to the limit stated in Item 10.</w:t>
      </w:r>
    </w:p>
    <w:p>
      <w:pPr>
        <w:pStyle w:val="ClauseLevel2"/>
      </w:pPr>
      <w:r>
        <w:t>The parties agree that the rate in Item 10 is a genuine pre-estimate of the loss the Contractor is likely to suffer from the delay.</w:t>
      </w:r>
    </w:p>
    <w:p>
      <w:pPr>
        <w:pStyle w:val="ClauseLevel2"/>
      </w:pPr>
      <w:r>
        <w:t>If Item 10 says liquidated damages are not applicable, this clause does not apply.</w:t>
      </w:r>
    </w:p>
    <w:p>
      <w:pPr>
        <w:pStyle w:val="Heading2"/>
      </w:pPr>
      <w:bookmarkStart w:id="135" w:name="_Toc900018"/>
      <w:r>
        <w:t>Variations</w:t>
      </w:r>
      <w:bookmarkEnd w:id="135"/>
    </w:p>
    <w:p>
      <w:pPr>
        <w:pStyle w:val="ClauseLevel2"/>
      </w:pPr>
      <w:r>
        <w:t>The Contractor’s Representative may direct the Subcontractor in writing to vary the Subcontract Works, and the Subcontractor must carry out the Variation.</w:t>
      </w:r>
    </w:p>
    <w:p>
      <w:pPr>
        <w:pStyle w:val="ClauseLevel2"/>
      </w:pPr>
      <w:r>
        <w:t>The Subcontractor must not vary the Subcontract Works unless directed in writing.</w:t>
      </w:r>
    </w:p>
    <w:p>
      <w:pPr>
        <w:pStyle w:val="ClauseLevel2"/>
      </w:pPr>
      <w:r>
        <w:t>If asked, the Subcontractor must give a written quotation for a proposed Variation within 5 Business Days.</w:t>
      </w:r>
    </w:p>
    <w:p>
      <w:pPr>
        <w:pStyle w:val="ClauseLevel2"/>
      </w:pPr>
      <w:r>
        <w:t>A Variation is valued:</w:t>
      </w:r>
    </w:p>
    <w:p>
      <w:pPr>
        <w:pStyle w:val="ClauseLevel3"/>
      </w:pPr>
      <w:r>
        <w:t>at the price agreed in writing; or failing agreement,</w:t>
      </w:r>
    </w:p>
    <w:p>
      <w:pPr>
        <w:pStyle w:val="ClauseLevel3"/>
      </w:pPr>
      <w:r>
        <w:t>using the rates in Schedule 4 where they apply; or otherwise,</w:t>
      </w:r>
    </w:p>
    <w:p>
      <w:pPr>
        <w:pStyle w:val="ClauseLevel3"/>
      </w:pPr>
      <w:r>
        <w:t>at reasonable rates and prices, plus the margin stated in Item 17 on the cost of materials supplied.</w:t>
      </w:r>
    </w:p>
    <w:p>
      <w:pPr>
        <w:pStyle w:val="Heading2"/>
      </w:pPr>
      <w:bookmarkStart w:id="136" w:name="_Toc900019"/>
      <w:r>
        <w:t>Payment</w:t>
      </w:r>
      <w:bookmarkEnd w:id="136"/>
    </w:p>
    <w:p>
      <w:pPr>
        <w:pStyle w:val="ClauseLevel2"/>
      </w:pPr>
      <w:r>
        <w:t>The Subcontractor may make a progress claim at the times stated in Item 11, by email to the address stated in Item 1, with enough detail for the Contractor to assess it.</w:t>
      </w:r>
    </w:p>
    <w:p>
      <w:pPr>
        <w:pStyle w:val="ClauseLevel2"/>
      </w:pPr>
      <w:r>
        <w:t>Where Item 11 requires it, each progress claim must be accompanied by a statutory declaration in the form of Schedule 6.</w:t>
      </w:r>
    </w:p>
    <w:p>
      <w:pPr>
        <w:pStyle w:val="ClauseLevel2"/>
      </w:pPr>
      <w:r>
        <w:t>The Contractor will assess each progress claim and respond to it within the time required by the security of payment legislation stated in Item 21, and pay the amount it assesses as due within the time stated in Item 11.</w:t>
      </w:r>
    </w:p>
    <w:p>
      <w:pPr>
        <w:pStyle w:val="ClauseLevel2"/>
      </w:pPr>
      <w:r>
        <w:t>A payment is a payment on account only. It is not evidence that the work has been carried out satisfactorily.</w:t>
      </w:r>
    </w:p>
    <w:p>
      <w:pPr>
        <w:pStyle w:val="ClauseLevel2"/>
      </w:pPr>
      <w:r>
        <w:t>Unless stated otherwise, amounts in the Subcontract exclude GST. A party making a taxable supply must give a tax invoice, and the recipient must pay the GST on that supply in addition to the amount for it.</w:t>
      </w:r>
    </w:p>
    <w:p>
      <w:pPr>
        <w:pStyle w:val="Heading2"/>
      </w:pPr>
      <w:bookmarkStart w:id="137" w:name="_Toc900020"/>
      <w:r>
        <w:t>Practical Completion</w:t>
      </w:r>
      <w:bookmarkEnd w:id="137"/>
    </w:p>
    <w:p>
      <w:pPr>
        <w:pStyle w:val="ClauseLevel2"/>
      </w:pPr>
      <w:r>
        <w:t>The Subcontractor must give the Contractor’s Representative at least 5 Business Days’ notice of the date it expects to reach Practical Completion.</w:t>
      </w:r>
    </w:p>
    <w:p>
      <w:pPr>
        <w:pStyle w:val="ClauseLevel2"/>
      </w:pPr>
      <w:r>
        <w:t>Practical Completion is reached when the Subcontract Works are complete except for minor defects that do not prevent their use, the required tests have been passed, and the documents listed in Item 16 for Practical Completion have been given to the Contractor.</w:t>
      </w:r>
    </w:p>
    <w:p>
      <w:pPr>
        <w:pStyle w:val="ClauseLevel2"/>
      </w:pPr>
      <w:r>
        <w:t>The Contractor’s Representative will notify the date on which Practical Completion was reached.</w:t>
      </w:r>
    </w:p>
    <w:p>
      <w:pPr>
        <w:pStyle w:val="Heading2"/>
      </w:pPr>
      <w:bookmarkStart w:id="138" w:name="_Toc900021"/>
      <w:r>
        <w:t>Defects</w:t>
      </w:r>
      <w:bookmarkEnd w:id="138"/>
    </w:p>
    <w:p>
      <w:pPr>
        <w:pStyle w:val="ClauseLevel2"/>
      </w:pPr>
      <w:r>
        <w:t>During the Defects Liability Period the Subcontractor must make good any defect in the Subcontract Works within the reasonable time directed by the Contractor’s Representative.</w:t>
      </w:r>
    </w:p>
    <w:p>
      <w:pPr>
        <w:pStyle w:val="ClauseLevel2"/>
      </w:pPr>
      <w:r>
        <w:t>If the Subcontractor does not do so, the Contractor may have the defect made good by others, and the cost is a debt due from the Subcontractor to the Contractor.</w:t>
      </w:r>
    </w:p>
    <w:p>
      <w:pPr>
        <w:pStyle w:val="Heading2"/>
      </w:pPr>
      <w:bookmarkStart w:id="139" w:name="_Toc900022"/>
      <w:r>
        <w:t>Notices and electronic documents</w:t>
      </w:r>
      <w:bookmarkEnd w:id="139"/>
    </w:p>
    <w:p>
      <w:pPr>
        <w:pStyle w:val="ClauseLevel2"/>
      </w:pPr>
      <w:r>
        <w:t>A notice under the Subcontract must be in writing and given to the other party’s representative at the address or email address stated in Items 1 and 2.</w:t>
      </w:r>
    </w:p>
    <w:p>
      <w:pPr>
        <w:pStyle w:val="ClauseLevel2"/>
      </w:pPr>
      <w:r>
        <w:t>Where Item 18 nominates an electronic document management system, a document given through it is given when it is uploaded and the other party is notified.</w:t>
      </w:r>
    </w:p>
    <w:p>
      <w:pPr>
        <w:pStyle w:val="Heading2"/>
      </w:pPr>
      <w:bookmarkStart w:id="140" w:name="_Toc900023"/>
      <w:r>
        <w:t>Disputes</w:t>
      </w:r>
      <w:bookmarkEnd w:id="140"/>
    </w:p>
    <w:p>
      <w:pPr>
        <w:pStyle w:val="ClauseLevel2"/>
      </w:pPr>
      <w:r>
        <w:t>A party claiming that a dispute has arisen must give the other party written notice with details of it. Senior representatives of the parties must meet within 10 Business Days to try to resolve it.</w:t>
      </w:r>
    </w:p>
    <w:p>
      <w:pPr>
        <w:pStyle w:val="ClauseLevel2"/>
      </w:pPr>
      <w:r>
        <w:t>If the dispute is not resolved within 20 Business Days after the notice, either party may refer it to mediation by a mediator nominated by the person stated in Item 19, or start proceedings.</w:t>
      </w:r>
    </w:p>
    <w:p>
      <w:pPr>
        <w:pStyle w:val="ClauseLevel2"/>
      </w:pPr>
      <w:r>
        <w:t>Nothing in this clause prevents a party from seeking urgent relief from a court, or from exercising its rights under security of payment legislation.</w:t>
      </w:r>
    </w:p>
    <w:p>
      <w:pPr>
        <w:pStyle w:val="Heading2"/>
      </w:pPr>
      <w:bookmarkStart w:id="141" w:name="_Toc900024"/>
      <w:r>
        <w:t>Default and termination</w:t>
      </w:r>
      <w:bookmarkEnd w:id="141"/>
    </w:p>
    <w:p>
      <w:pPr>
        <w:pStyle w:val="ClauseLevel2"/>
      </w:pPr>
      <w:r>
        <w:t>If the Subcontractor commits a substantial breach of the Subcontract, the Contractor may give it a written notice requiring it to show cause, within 7 days, why the Contractor should not exercise its rights.</w:t>
      </w:r>
    </w:p>
    <w:p>
      <w:pPr>
        <w:pStyle w:val="ClauseLevel2"/>
      </w:pPr>
      <w:r>
        <w:t>If the Subcontractor does not show reasonable cause within that time, the Contractor may take over the remaining work or terminate the Subcontract by written notice, without limiting its other rights.</w:t>
      </w:r>
    </w:p>
    <w:p>
      <w:pPr>
        <w:pStyle w:val="ClauseLevel2"/>
      </w:pPr>
      <w:r>
        <w:t>The Contractor may also terminate the Subcontract by written notice if the Subcontractor becomes insolvent, to the extent the law allows.</w:t>
      </w:r>
    </w:p>
    <w:p>
      <w:pPr>
        <w:pStyle w:val="Heading2"/>
      </w:pPr>
      <w:bookmarkStart w:id="142" w:name="_Toc900025"/>
      <w:r>
        <w:t>Indemnity</w:t>
      </w:r>
      <w:bookmarkEnd w:id="142"/>
    </w:p>
    <w:p>
      <w:pPr>
        <w:pStyle w:val="ClauseLevel2"/>
      </w:pPr>
      <w:r>
        <w:t>The Subcontractor indemnifies the Contractor against loss, damage and claims arising from the Subcontractor’s breach of the Subcontract or its negligent acts or omissions, reduced to the extent the Contractor caused or contributed to them.</w:t>
      </w:r>
    </w:p>
    <w:p>
      <w:pPr>
        <w:pStyle w:val="Heading2"/>
      </w:pPr>
      <w:bookmarkStart w:id="143" w:name="_Toc900026"/>
      <w:r>
        <w:t>Confidentiality</w:t>
      </w:r>
      <w:bookmarkEnd w:id="143"/>
    </w:p>
    <w:p>
      <w:pPr>
        <w:pStyle w:val="ClauseLevel2"/>
      </w:pPr>
      <w:r>
        <w:t>The Subcontractor must keep confidential the Subcontract and all information it receives about the Project, except as needed to carry out the Subcontract Works or as required by law.</w:t>
      </w:r>
    </w:p>
    <w:p>
      <w:pPr>
        <w:pStyle w:val="Heading2"/>
      </w:pPr>
      <w:bookmarkStart w:id="144" w:name="_Toc900027"/>
      <w:r>
        <w:t>General</w:t>
      </w:r>
      <w:bookmarkEnd w:id="144"/>
    </w:p>
    <w:p>
      <w:pPr>
        <w:pStyle w:val="ClauseLevel2"/>
      </w:pPr>
      <w:r>
        <w:t>The Subcontract is the entire agreement between the parties about its subject matter.</w:t>
      </w:r>
    </w:p>
    <w:p>
      <w:pPr>
        <w:pStyle w:val="ClauseLevel2"/>
      </w:pPr>
      <w:r>
        <w:t>The Subcontract is governed by the law stated in Item 20.</w:t>
      </w:r>
    </w:p>
    <w:p>
      <w:pPr>
        <w:pStyle w:val="ClauseLevel2"/>
      </w:pPr>
      <w:r>
        <w:t>A right under the Subcontract is waived only in writing. If any provision is unenforceable, it is severed and the rest of the Subcontract continues.</w:t>
      </w:r>
    </w:p>
    <w:p>
      <w:pPr>
        <w:pStyle w:val="ClauseLevel2"/>
      </w:pPr>
      <w:r>
        <w:t>The Subcontract may be signed electronically and in counterparts.</w:t>
      </w:r>
    </w:p>
    <w:bookmarkStart w:id="146" w:name="DS_PART_schedule_1"/>
    <w:p>
      <w:pPr>
        <w:pStyle w:val="Heading1"/>
      </w:pPr>
      <w:bookmarkStart w:id="145" w:name="_Toc900028"/>
      <w:r>
        <w:t>Schedule 1 – Design Requirements</w:t>
      </w:r>
      <w:bookmarkEnd w:id="145"/>
    </w:p>
    <w:p>
      <w:pPr/>
      <w:r>
        <w:t>The Subcontractor must design the following parts of the Subcontract Works in accordance with clause 5:</w:t>
      </w:r>
    </w:p>
    <w:p>
      <w:pPr/>
      <w:r>
        <w:t>${design_requirements}</w:t>
      </w:r>
    </w:p>
    <w:bookmarkEnd w:id="146"/>
    <w:p>
      <w:pPr>
        <w:pStyle w:val="Heading1"/>
      </w:pPr>
      <w:bookmarkStart w:id="147" w:name="_Toc900029"/>
      <w:r>
        <w:t>Schedule 2 – Scope of Works</w:t>
      </w:r>
      <w:bookmarkEnd w:id="147"/>
    </w:p>
    <w:p>
      <w:pPr/>
      <w:r>
        <w:t>${scope_of_works}</w:t>
      </w:r>
    </w:p>
    <w:p>
      <w:pPr>
        <w:pStyle w:val="Heading3"/>
      </w:pPr>
      <w:r>
        <w:t>Exclusions</w:t>
      </w:r>
    </w:p>
    <w:p>
      <w:pPr/>
      <w:r>
        <w:t>${scope_exclusions}</w:t>
      </w:r>
    </w:p>
    <w:bookmarkStart w:id="150" w:name="DS_PART_schedule_3"/>
    <w:p>
      <w:pPr>
        <w:pStyle w:val="Heading1"/>
      </w:pPr>
      <w:bookmarkStart w:id="148" w:name="_Toc900030"/>
      <w:r>
        <w:t>Schedule 3 – Contract Program</w:t>
      </w:r>
      <w:bookmarkEnd w:id="148"/>
    </w:p>
    <w:p>
      <w:pPr/>
      <w:r>
        <w:t>The Subcontractor’s activities on the program as at the date of this Subcontract are:</w:t>
      </w:r>
    </w:p>
    <w:p>
      <w:pPr>
        <w:pStyle w:val="BodyIndent"/>
      </w:pPr>
      <w:r>
        <w:t>${subcontractor_programme_tasks}</w:t>
      </w:r>
    </w:p>
    <w:p>
      <w:pPr/>
      <w:bookmarkStart w:id="149" w:name="DS_INSERT_contract_program"/>
      <w:r>
        <w:t>The Contract Program is the construction program attached immediately after this page: ${contract_program}.</w:t>
      </w:r>
      <w:bookmarkEnd w:id="149"/>
    </w:p>
    <w:bookmarkEnd w:id="150"/>
    <w:bookmarkStart w:id="152" w:name="DS_PART_schedule_4"/>
    <w:p>
      <w:pPr>
        <w:pStyle w:val="Heading1"/>
      </w:pPr>
      <w:bookmarkStart w:id="151" w:name="_Toc900031"/>
      <w:r>
        <w:t>Schedule 4 – Schedule of Rates and Provisional Work</w:t>
      </w:r>
      <w:bookmarkEnd w:id="151"/>
    </w:p>
    <w:p>
      <w:pPr/>
      <w:r>
        <w:t>Rates for valuing Variations (clause 14.4) and the breakdown of Provisional Work (Item 6). Lines marked “Yes” under Provisional are Provisional Work.</w:t>
      </w:r>
    </w:p>
    <w:tbl>
      <w:tblPr>
        <w:tblStyle w:val="TableGrid"/>
        <w:tblW w:type="auto" w:w="0"/>
        <w:jc w:val="left"/>
        <w:tblLayout w:type="fixed"/>
        <w:tblLook w:firstColumn="1" w:firstRow="1" w:lastColumn="0" w:lastRow="0" w:noHBand="0" w:noVBand="1" w:val="04A0"/>
      </w:tblPr>
      <w:tblGrid>
        <w:gridCol w:w="2835"/>
        <w:gridCol w:w="907"/>
        <w:gridCol w:w="794"/>
        <w:gridCol w:w="1417"/>
        <w:gridCol w:w="1587"/>
        <w:gridCol w:w="1531"/>
      </w:tblGrid>
      <w:tr>
        <w:trPr>
          <w:tblHeader/>
          <w:cantSplit/>
        </w:trPr>
        <w:tc>
          <w:tcPr>
            <w:tcW w:type="dxa" w:w="2835"/>
            <w:shd w:val="clear" w:color="auto" w:fill="D9E2F3"/>
          </w:tcPr>
          <w:p>
            <w:pPr>
              <w:pStyle w:val="TableLabel"/>
              <w:keepNext/>
            </w:pPr>
            <w:r>
              <w:t>Description</w:t>
            </w:r>
          </w:p>
        </w:tc>
        <w:tc>
          <w:tcPr>
            <w:tcW w:type="dxa" w:w="907"/>
            <w:shd w:val="clear" w:color="auto" w:fill="D9E2F3"/>
          </w:tcPr>
          <w:p>
            <w:pPr>
              <w:pStyle w:val="TableLabel"/>
              <w:keepNext/>
            </w:pPr>
            <w:r>
              <w:t>Unit</w:t>
            </w:r>
          </w:p>
        </w:tc>
        <w:tc>
          <w:tcPr>
            <w:tcW w:type="dxa" w:w="794"/>
            <w:shd w:val="clear" w:color="auto" w:fill="D9E2F3"/>
          </w:tcPr>
          <w:p>
            <w:pPr>
              <w:pStyle w:val="TableLabel"/>
              <w:keepNext/>
            </w:pPr>
            <w:r>
              <w:t>Qty</w:t>
            </w:r>
          </w:p>
        </w:tc>
        <w:tc>
          <w:tcPr>
            <w:tcW w:type="dxa" w:w="1417"/>
            <w:shd w:val="clear" w:color="auto" w:fill="D9E2F3"/>
          </w:tcPr>
          <w:p>
            <w:pPr>
              <w:pStyle w:val="TableLabel"/>
              <w:keepNext/>
            </w:pPr>
            <w:r>
              <w:t>Rate</w:t>
            </w:r>
          </w:p>
        </w:tc>
        <w:tc>
          <w:tcPr>
            <w:tcW w:type="dxa" w:w="1587"/>
            <w:shd w:val="clear" w:color="auto" w:fill="D9E2F3"/>
          </w:tcPr>
          <w:p>
            <w:pPr>
              <w:pStyle w:val="TableLabel"/>
              <w:keepNext/>
            </w:pPr>
            <w:r>
              <w:t>Amount</w:t>
            </w:r>
          </w:p>
        </w:tc>
        <w:tc>
          <w:tcPr>
            <w:tcW w:type="dxa" w:w="1531"/>
            <w:shd w:val="clear" w:color="auto" w:fill="D9E2F3"/>
          </w:tcPr>
          <w:p>
            <w:pPr>
              <w:pStyle w:val="TableLabel"/>
              <w:keepNext/>
            </w:pPr>
            <w:r>
              <w:t>Provisional</w:t>
            </w:r>
          </w:p>
        </w:tc>
      </w:tr>
      <w:tr>
        <w:trPr>
          <w:cantSplit/>
        </w:trPr>
        <w:tc>
          <w:tcPr>
            <w:tcW w:type="dxa" w:w="2835"/>
          </w:tcPr>
          <w:p>
            <w:pPr>
              <w:pStyle w:val="TableText"/>
            </w:pPr>
            <w:r>
              <w:t>${row.schedule_of_rates.description}</w:t>
            </w:r>
          </w:p>
        </w:tc>
        <w:tc>
          <w:tcPr>
            <w:tcW w:type="dxa" w:w="907"/>
          </w:tcPr>
          <w:p>
            <w:pPr>
              <w:pStyle w:val="TableText"/>
            </w:pPr>
            <w:r>
              <w:t>${row.schedule_of_rates.unit}</w:t>
            </w:r>
          </w:p>
        </w:tc>
        <w:tc>
          <w:tcPr>
            <w:tcW w:type="dxa" w:w="794"/>
          </w:tcPr>
          <w:p>
            <w:pPr>
              <w:pStyle w:val="TableText"/>
            </w:pPr>
            <w:r>
              <w:t>${row.schedule_of_rates.qty}</w:t>
            </w:r>
          </w:p>
        </w:tc>
        <w:tc>
          <w:tcPr>
            <w:tcW w:type="dxa" w:w="1417"/>
          </w:tcPr>
          <w:p>
            <w:pPr>
              <w:pStyle w:val="TableText"/>
            </w:pPr>
            <w:r>
              <w:t>${row.schedule_of_rates.rate}</w:t>
            </w:r>
          </w:p>
        </w:tc>
        <w:tc>
          <w:tcPr>
            <w:tcW w:type="dxa" w:w="1587"/>
          </w:tcPr>
          <w:p>
            <w:pPr>
              <w:pStyle w:val="TableText"/>
            </w:pPr>
            <w:r>
              <w:t>${row.schedule_of_rates.amount}</w:t>
            </w:r>
          </w:p>
        </w:tc>
        <w:tc>
          <w:tcPr>
            <w:tcW w:type="dxa" w:w="1531"/>
          </w:tcPr>
          <w:p>
            <w:pPr>
              <w:pStyle w:val="TableText"/>
            </w:pPr>
            <w:r>
              <w:t>${row.schedule_of_rates.provisional}</w:t>
            </w:r>
          </w:p>
        </w:tc>
      </w:tr>
    </w:tbl>
    <w:p>
      <w:pPr>
        <w:pStyle w:val="TableLabel"/>
        <w:spacing w:before="120"/>
      </w:pPr>
      <w:r>
        <w:t>Total Provisional Work: ${provisional_work_sum}</w:t>
      </w:r>
    </w:p>
    <w:bookmarkEnd w:id="152"/>
    <w:bookmarkStart w:id="154" w:name="DS_PART_schedule_5"/>
    <w:p>
      <w:pPr>
        <w:pStyle w:val="Heading1"/>
      </w:pPr>
      <w:bookmarkStart w:id="153" w:name="_Toc900032"/>
      <w:r>
        <w:t>Schedule 5 – Form of Security</w:t>
      </w:r>
      <w:bookmarkEnd w:id="153"/>
    </w:p>
    <w:p>
      <w:pPr/>
      <w:r>
        <w:t>A bank guarantee or unconditional undertaking given under clause 6.3 must:</w:t>
      </w:r>
    </w:p>
    <w:p>
      <w:pPr>
        <w:pStyle w:val="ListLetter"/>
        <w:numPr>
          <w:ilvl w:val="0"/>
          <w:numId w:val="95"/>
        </w:numPr>
      </w:pPr>
      <w:r>
        <w:t>be issued by an Australian bank or insurer acceptable to the Contractor;</w:t>
      </w:r>
    </w:p>
    <w:p>
      <w:pPr>
        <w:pStyle w:val="ListLetter"/>
        <w:numPr>
          <w:ilvl w:val="0"/>
          <w:numId w:val="95"/>
        </w:numPr>
      </w:pPr>
      <w:r>
        <w:t>be unconditional and irrevocable, with no expiry date;</w:t>
      </w:r>
    </w:p>
    <w:p>
      <w:pPr>
        <w:pStyle w:val="ListLetter"/>
        <w:numPr>
          <w:ilvl w:val="0"/>
          <w:numId w:val="95"/>
        </w:numPr>
      </w:pPr>
      <w:r>
        <w:t>be in favour of the Contractor for the amount stated in Item 12; and</w:t>
      </w:r>
    </w:p>
    <w:p>
      <w:pPr>
        <w:pStyle w:val="ListLetter"/>
        <w:numPr>
          <w:ilvl w:val="0"/>
          <w:numId w:val="95"/>
        </w:numPr>
      </w:pPr>
      <w:r>
        <w:t>be payable on demand, without reference to the Subcontractor.</w:t>
      </w:r>
    </w:p>
    <w:bookmarkEnd w:id="154"/>
    <w:bookmarkStart w:id="156" w:name="DS_PART_schedule_6"/>
    <w:p>
      <w:pPr>
        <w:pStyle w:val="Heading1"/>
      </w:pPr>
      <w:bookmarkStart w:id="155" w:name="_Toc900033"/>
      <w:r>
        <w:t>Schedule 6 – Statutory Declaration</w:t>
      </w:r>
      <w:bookmarkEnd w:id="155"/>
    </w:p>
    <w:p>
      <w:pPr/>
      <w:r>
        <w:t>To accompany each progress claim under clause 15.2.</w:t>
      </w:r>
    </w:p>
    <w:p>
      <w:pPr/>
      <w:r>
        <w:t>I, ______________________________ of ${subcontractor_name} ${subcontractor_company_number}, solemnly and sincerely declare that, for the progress claim dated ____________ under subcontract ${sc_number} for the Project ${project_name}:</w:t>
      </w:r>
    </w:p>
    <w:p>
      <w:pPr>
        <w:pStyle w:val="Declaration"/>
      </w:pPr>
      <w:r>
        <w:t>all workers employed by the Subcontractor in carrying out the Subcontract Works have been paid all amounts due to them for work done up to the end of the period covered by the progress claim;</w:t>
      </w:r>
    </w:p>
    <w:p>
      <w:pPr>
        <w:pStyle w:val="Declaration"/>
      </w:pPr>
      <w:r>
        <w:t>all subcontractors and suppliers engaged by the Subcontractor for the Subcontract Works have been paid all amounts then due to them; and</w:t>
      </w:r>
    </w:p>
    <w:p>
      <w:pPr>
        <w:pStyle w:val="Declaration"/>
      </w:pPr>
      <w:r>
        <w:t>all workers compensation premiums, payroll tax and superannuation contributions payable by the Subcontractor for those workers have been paid.</w:t>
      </w:r>
    </w:p>
    <w:p>
      <w:pPr/>
      <w:r>
        <w:t>I make this declaration conscientiously believing it to be true, under ${statutory_declarations_act}.</w:t>
      </w:r>
    </w:p>
    <w:tbl>
      <w:tblPr>
        <w:tblStyle w:val="TableGrid"/>
        <w:tblW w:type="auto" w:w="0"/>
        <w:jc w:val="left"/>
        <w:tblLayout w:type="fixed"/>
        <w:tblLook w:firstColumn="1" w:firstRow="1" w:lastColumn="0" w:lastRow="0" w:noHBand="0" w:noVBand="1" w:val="04A0"/>
      </w:tblPr>
      <w:tblGrid>
        <w:gridCol w:w="3402"/>
        <w:gridCol w:w="5669"/>
      </w:tblGrid>
      <w:tr>
        <w:trPr>
          <w:cantSplit/>
          <w:trHeight w:val="567" w:hRule="atLeast"/>
        </w:trPr>
        <w:tc>
          <w:tcPr>
            <w:tcW w:type="dxa" w:w="3402"/>
          </w:tcPr>
          <w:p>
            <w:pPr>
              <w:pStyle w:val="TableLabel"/>
              <w:keepNext/>
            </w:pPr>
            <w:r>
              <w:t>Declared at</w:t>
            </w:r>
          </w:p>
        </w:tc>
        <w:tc>
          <w:tcPr>
            <w:tcW w:type="dxa" w:w="5669"/>
          </w:tcPr>
          <w:p>
            <w:pPr>
              <w:pStyle w:val="TableText"/>
              <w:keepNext/>
            </w:pPr>
            <w:r/>
          </w:p>
        </w:tc>
      </w:tr>
      <w:tr>
        <w:trPr>
          <w:cantSplit/>
          <w:trHeight w:val="567" w:hRule="atLeast"/>
        </w:trPr>
        <w:tc>
          <w:tcPr>
            <w:tcW w:type="dxa" w:w="3402"/>
          </w:tcPr>
          <w:p>
            <w:pPr>
              <w:pStyle w:val="TableLabel"/>
              <w:keepNext/>
            </w:pPr>
            <w:r>
              <w:t>On (date)</w:t>
            </w:r>
          </w:p>
        </w:tc>
        <w:tc>
          <w:tcPr>
            <w:tcW w:type="dxa" w:w="5669"/>
          </w:tcPr>
          <w:p>
            <w:pPr>
              <w:pStyle w:val="TableText"/>
              <w:keepNext/>
            </w:pPr>
            <w:r/>
          </w:p>
        </w:tc>
      </w:tr>
      <w:tr>
        <w:trPr>
          <w:cantSplit/>
          <w:trHeight w:val="567" w:hRule="atLeast"/>
        </w:trPr>
        <w:tc>
          <w:tcPr>
            <w:tcW w:type="dxa" w:w="3402"/>
          </w:tcPr>
          <w:p>
            <w:pPr>
              <w:pStyle w:val="TableLabel"/>
              <w:keepNext/>
            </w:pPr>
            <w:r>
              <w:t>Signature of declarant</w:t>
            </w:r>
          </w:p>
        </w:tc>
        <w:tc>
          <w:tcPr>
            <w:tcW w:type="dxa" w:w="5669"/>
          </w:tcPr>
          <w:p>
            <w:pPr>
              <w:pStyle w:val="TableText"/>
              <w:keepNext/>
            </w:pPr>
            <w:r/>
          </w:p>
        </w:tc>
      </w:tr>
      <w:tr>
        <w:trPr>
          <w:cantSplit/>
          <w:trHeight w:val="567" w:hRule="atLeast"/>
        </w:trPr>
        <w:tc>
          <w:tcPr>
            <w:tcW w:type="dxa" w:w="3402"/>
          </w:tcPr>
          <w:p>
            <w:pPr>
              <w:pStyle w:val="TableLabel"/>
            </w:pPr>
            <w:r>
              <w:t>Witness signature, name and qualification</w:t>
            </w:r>
          </w:p>
        </w:tc>
        <w:tc>
          <w:tcPr>
            <w:tcW w:type="dxa" w:w="5669"/>
          </w:tcPr>
          <w:p>
            <w:pPr>
              <w:pStyle w:val="TableText"/>
            </w:pPr>
            <w:r/>
          </w:p>
        </w:tc>
      </w:tr>
    </w:tbl>
    <w:bookmarkEnd w:id="156"/>
    <w:sectPr w:rsidR="00FC693F" w:rsidRPr="0006063C" w:rsidSect="00034616">
      <w:footerReference w:type="default" r:id="rId9"/>
      <w:pgSz w:w="11906" w:h="16838"/>
      <w:pgMar w:top="1247" w:right="1417" w:bottom="1247" w:left="1417" w:header="720"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Text"/>
      <w:tabs>
        <w:tab w:pos="9071" w:val="right"/>
      </w:tabs>
    </w:pPr>
    <w:r>
      <w:t>${sc_number} · ${contract_name}</w:t>
    </w:r>
    <w:r>
      <w:tab/>
    </w:r>
    <w:r>
      <w:t xml:space="preserve">Page </w:t>
    </w:r>
    <w:r>
      <w:fldChar w:fldCharType="begin"/>
    </w:r>
    <w:r>
      <w:instrText xml:space="preserve"> PAGE </w:instrText>
    </w:r>
    <w:r>
      <w:fldChar w:fldCharType="separate"/>
    </w:r>
    <w:r>
      <w:t xml:space="preserve">1</w:t>
    </w:r>
    <w:r>
      <w:fldChar w:fldCharType="end"/>
    </w:r>
    <w:r>
      <w:t xml:space="preserve"> of </w:t>
    </w:r>
    <w:r>
      <w:fldChar w:fldCharType="begin"/>
    </w:r>
    <w:r>
      <w:instrText xml:space="preserve"> NUMPAGES </w:instrText>
    </w:r>
    <w:r>
      <w:fldChar w:fldCharType="separate"/>
    </w:r>
    <w:r>
      <w:t xml:space="preserve">1</w:t>
    </w:r>
    <w:r>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0">
    <w:multiLevelType w:val="multilevel"/>
    <w:lvl w:ilvl="0">
      <w:start w:val="1"/>
      <w:numFmt w:val="decimal"/>
      <w:pStyle w:val="Heading2"/>
      <w:lvlText w:val="%1."/>
      <w:lvlJc w:val="left"/>
      <w:pPr>
        <w:ind w:left="567" w:hanging="567"/>
      </w:pPr>
    </w:lvl>
    <w:lvl w:ilvl="1">
      <w:start w:val="1"/>
      <w:numFmt w:val="decimal"/>
      <w:pStyle w:val="ClauseLevel2"/>
      <w:lvlText w:val="%1.%2"/>
      <w:lvlJc w:val="left"/>
      <w:pPr>
        <w:ind w:left="567" w:hanging="567"/>
      </w:pPr>
    </w:lvl>
    <w:lvl w:ilvl="2">
      <w:start w:val="1"/>
      <w:numFmt w:val="lowerLetter"/>
      <w:pStyle w:val="ClauseLevel3"/>
      <w:lvlText w:val="(%3)"/>
      <w:lvlJc w:val="left"/>
      <w:pPr>
        <w:ind w:left="1134" w:hanging="567"/>
      </w:pPr>
    </w:lvl>
    <w:lvl w:ilvl="3">
      <w:start w:val="1"/>
      <w:numFmt w:val="lowerRoman"/>
      <w:pStyle w:val="Normal"/>
      <w:lvlText w:val="(%4)"/>
      <w:lvlJc w:val="left"/>
      <w:pPr>
        <w:ind w:left="1701" w:hanging="567"/>
      </w:pPr>
    </w:lvl>
  </w:abstractNum>
  <w:abstractNum w:abstractNumId="91">
    <w:multiLevelType w:val="multilevel"/>
    <w:lvl w:ilvl="0">
      <w:start w:val="1"/>
      <w:numFmt w:val="lowerLetter"/>
      <w:pStyle w:val="ListLetter"/>
      <w:lvlText w:val="(%1)"/>
      <w:lvlJc w:val="left"/>
      <w:pPr>
        <w:ind w:left="1134" w:hanging="567"/>
      </w:pPr>
    </w:lvl>
  </w:abstractNum>
  <w:abstractNum w:abstractNumId="92">
    <w:multiLevelType w:val="multilevel"/>
    <w:lvl w:ilvl="0">
      <w:start w:val="1"/>
      <w:numFmt w:val="decimal"/>
      <w:pStyle w:val="AgreementClause"/>
      <w:lvlText w:val="%1."/>
      <w:lvlJc w:val="left"/>
      <w:pPr>
        <w:ind w:left="567" w:hanging="567"/>
      </w:pPr>
    </w:lvl>
  </w:abstractNum>
  <w:abstractNum w:abstractNumId="93">
    <w:multiLevelType w:val="multilevel"/>
    <w:lvl w:ilvl="0">
      <w:start w:val="1"/>
      <w:numFmt w:val="upperLetter"/>
      <w:pStyle w:val="Recital"/>
      <w:lvlText w:val="%1."/>
      <w:lvlJc w:val="left"/>
      <w:pPr>
        <w:ind w:left="567" w:hanging="567"/>
      </w:pPr>
    </w:lvl>
  </w:abstractNum>
  <w:abstractNum w:abstractNumId="94">
    <w:multiLevelType w:val="multilevel"/>
    <w:lvl w:ilvl="0">
      <w:start w:val="1"/>
      <w:numFmt w:val="decimal"/>
      <w:pStyle w:val="Declaration"/>
      <w:lvlText w:val="%1."/>
      <w:lvlJc w:val="left"/>
      <w:pPr>
        <w:ind w:left="567" w:hanging="567"/>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90">
    <w:abstractNumId w:val="90"/>
  </w:num>
  <w:num w:numId="91">
    <w:abstractNumId w:val="91"/>
  </w:num>
  <w:num w:numId="92">
    <w:abstractNumId w:val="92"/>
  </w:num>
  <w:num w:numId="93">
    <w:abstractNumId w:val="93"/>
  </w:num>
  <w:num w:numId="94">
    <w:abstractNumId w:val="94"/>
  </w:num>
  <w:num w:numId="95">
    <w:abstractNumId w:val="9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64" w:lineRule="auto"/>
    </w:pPr>
    <w:rPr>
      <w:rFonts w:ascii="Arial" w:hAnsi="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40"/>
      <w:outlineLvl w:val="0"/>
    </w:pPr>
    <w:rPr>
      <w:rFonts w:ascii="Arial" w:hAnsi="Arial" w:eastAsia="Arial" w:cs="Arial"/>
      <w:b/>
      <w:bCs/>
      <w:color w:val="1F3864"/>
      <w:sz w:val="28"/>
      <w:szCs w:val="28"/>
    </w:rPr>
  </w:style>
  <w:style w:type="paragraph" w:styleId="Heading2">
    <w:name w:val="heading 2"/>
    <w:basedOn w:val="Normal"/>
    <w:next w:val="Normal"/>
    <w:link w:val="Heading2Char"/>
    <w:uiPriority w:val="9"/>
    <w:unhideWhenUsed/>
    <w:qFormat/>
    <w:rsid w:val="00FC693F"/>
    <w:pPr>
      <w:keepNext/>
      <w:keepLines/>
      <w:numPr>
        <w:ilvl w:val="0"/>
        <w:numId w:val="90"/>
      </w:numPr>
      <w:spacing w:before="240" w:after="80"/>
      <w:ind w:left="567" w:hanging="567"/>
      <w:outlineLvl w:val="1"/>
    </w:pPr>
    <w:rPr>
      <w:rFonts w:ascii="Arial" w:hAnsi="Arial" w:eastAsia="Arial" w:cs="Arial"/>
      <w:b/>
      <w:bCs/>
      <w:color w:val="1F3864"/>
      <w:sz w:val="22"/>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eastAsia="Arial" w:cs="Arial"/>
      <w:b/>
      <w:bCs/>
      <w:color w:val="1F3864"/>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240" w:line="240" w:lineRule="auto"/>
      <w:contextualSpacing/>
    </w:pPr>
    <w:rPr>
      <w:rFonts w:ascii="Arial" w:hAnsi="Arial" w:eastAsia="Arial" w:cs="Arial"/>
      <w:b/>
      <w:color w:val="1F3864"/>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480"/>
    </w:pPr>
    <w:rPr>
      <w:rFonts w:ascii="Arial" w:hAnsi="Arial" w:eastAsia="Arial" w:cs="Arial"/>
      <w:i w:val="0"/>
      <w:iCs/>
      <w:color w:val="595959"/>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lauseLevel2">
    <w:name w:val="Clause Level 2"/>
    <w:basedOn w:val="Normal"/>
    <w:pPr>
      <w:numPr>
        <w:ilvl w:val="1"/>
        <w:numId w:val="90"/>
      </w:numPr>
      <w:ind w:left="567" w:hanging="567"/>
    </w:pPr>
  </w:style>
  <w:style w:type="paragraph" w:customStyle="1" w:styleId="ClauseLevel3">
    <w:name w:val="Clause Level 3"/>
    <w:basedOn w:val="Normal"/>
    <w:pPr>
      <w:numPr>
        <w:ilvl w:val="2"/>
        <w:numId w:val="90"/>
      </w:numPr>
      <w:spacing w:after="60"/>
      <w:ind w:left="1134" w:hanging="567"/>
    </w:pPr>
  </w:style>
  <w:style w:type="paragraph" w:customStyle="1" w:styleId="BodyIndent">
    <w:name w:val="Body Indent"/>
    <w:basedOn w:val="Normal"/>
    <w:pPr>
      <w:ind w:left="567"/>
    </w:pPr>
  </w:style>
  <w:style w:type="paragraph" w:customStyle="1" w:styleId="ListLetter">
    <w:name w:val="List Letter"/>
    <w:basedOn w:val="Normal"/>
    <w:pPr>
      <w:numPr>
        <w:ilvl w:val="0"/>
        <w:numId w:val="91"/>
      </w:numPr>
      <w:spacing w:after="60"/>
      <w:ind w:left="1134" w:hanging="567"/>
    </w:pPr>
  </w:style>
  <w:style w:type="paragraph" w:customStyle="1" w:styleId="AgreementClause">
    <w:name w:val="Agreement Clause"/>
    <w:basedOn w:val="Normal"/>
    <w:pPr>
      <w:numPr>
        <w:ilvl w:val="0"/>
        <w:numId w:val="92"/>
      </w:numPr>
      <w:ind w:left="567" w:hanging="567"/>
    </w:pPr>
  </w:style>
  <w:style w:type="paragraph" w:customStyle="1" w:styleId="Recital">
    <w:name w:val="Recital"/>
    <w:basedOn w:val="Normal"/>
    <w:pPr>
      <w:numPr>
        <w:ilvl w:val="0"/>
        <w:numId w:val="93"/>
      </w:numPr>
      <w:ind w:left="567" w:hanging="567"/>
    </w:pPr>
  </w:style>
  <w:style w:type="paragraph" w:customStyle="1" w:styleId="Declaration">
    <w:name w:val="Declaration"/>
    <w:basedOn w:val="Normal"/>
    <w:pPr>
      <w:numPr>
        <w:ilvl w:val="0"/>
        <w:numId w:val="94"/>
      </w:numPr>
      <w:ind w:left="567" w:hanging="567"/>
    </w:pPr>
  </w:style>
  <w:style w:type="paragraph" w:customStyle="1" w:styleId="ItemHeading">
    <w:name w:val="Item Heading"/>
    <w:basedOn w:val="Normal"/>
    <w:pPr>
      <w:keepNext/>
      <w:pBdr>
        <w:bottom w:val="single" w:sz="4" w:space="1" w:color="1F3864"/>
      </w:pBdr>
      <w:spacing w:before="240" w:after="80"/>
    </w:pPr>
    <w:rPr>
      <w:b/>
      <w:color w:val="1F3864"/>
      <w:sz w:val="21"/>
    </w:rPr>
  </w:style>
  <w:style w:type="paragraph" w:customStyle="1" w:styleId="ItemText">
    <w:name w:val="Item Text"/>
    <w:basedOn w:val="Normal"/>
    <w:pPr>
      <w:spacing w:after="80"/>
    </w:pPr>
  </w:style>
  <w:style w:type="paragraph" w:customStyle="1" w:styleId="TableText">
    <w:name w:val="Table Text"/>
    <w:basedOn w:val="Normal"/>
    <w:pPr>
      <w:spacing w:after="40"/>
    </w:pPr>
  </w:style>
  <w:style w:type="paragraph" w:customStyle="1" w:styleId="TableLabel">
    <w:name w:val="Table Label"/>
    <w:basedOn w:val="Normal"/>
    <w:pPr>
      <w:spacing w:after="40"/>
    </w:pPr>
    <w:rPr>
      <w:b/>
    </w:rPr>
  </w:style>
  <w:style w:type="paragraph" w:customStyle="1" w:styleId="GuidanceNote">
    <w:name w:val="Guidance Note"/>
    <w:basedOn w:val="Normal"/>
    <w:pPr>
      <w:pBdr>
        <w:top w:val="single" w:sz="6" w:space="4" w:color="A6A6A6"/>
        <w:left w:val="single" w:sz="6" w:space="4" w:color="A6A6A6"/>
        <w:bottom w:val="single" w:sz="6" w:space="4" w:color="A6A6A6"/>
        <w:right w:val="single" w:sz="6" w:space="4" w:color="A6A6A6"/>
      </w:pBdr>
      <w:shd w:val="clear" w:color="auto" w:fill="F2F2F2"/>
      <w:spacing w:before="480"/>
    </w:pPr>
    <w:rPr>
      <w:i/>
      <w:color w:val="595959"/>
      <w:sz w:val="19"/>
    </w:rPr>
  </w:style>
  <w:style w:type="paragraph" w:customStyle="1" w:styleId="ContentsHeading">
    <w:name w:val="Contents Heading"/>
    <w:basedOn w:val="Normal"/>
    <w:pPr>
      <w:pageBreakBefore/>
      <w:spacing w:after="240"/>
    </w:pPr>
    <w:rPr>
      <w:b/>
      <w:color w:val="1F3864"/>
      <w:sz w:val="28"/>
    </w:rPr>
  </w:style>
  <w:style w:type="paragraph" w:customStyle="1" w:styleId="FooterText">
    <w:name w:val="Footer Text"/>
    <w:basedOn w:val="Normal"/>
    <w:pPr>
      <w:spacing w:after="0"/>
    </w:pPr>
    <w:rPr>
      <w:color w:val="595959"/>
      <w:sz w:val="16"/>
    </w:rPr>
  </w:style>
  <w:style w:type="paragraph" w:customStyle="1" w:styleId="TOC1">
    <w:name w:val="toc 1"/>
    <w:basedOn w:val="Normal"/>
    <w:pPr>
      <w:tabs>
        <w:tab w:pos="9071" w:val="right" w:leader="dot"/>
      </w:tabs>
      <w:spacing w:after="60"/>
      <w:ind w:left="0"/>
    </w:pPr>
    <w:rPr>
      <w:b/>
    </w:rPr>
  </w:style>
  <w:style w:type="paragraph" w:customStyle="1" w:styleId="TOC2">
    <w:name w:val="toc 2"/>
    <w:basedOn w:val="Normal"/>
    <w:pPr>
      <w:tabs>
        <w:tab w:pos="1134" w:val="left"/>
        <w:tab w:pos="9071" w:val="right" w:leader="dot"/>
      </w:tabs>
      <w:spacing w:after="60"/>
      <w:ind w:left="567"/>
    </w:pPr>
    <w:rPr>
      <w:b w:val="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Construction Subcontract (worked example)</dc:title>
  <dc:subject/>
  <dc:creator>Deep Space</dc:creator>
  <cp:keywords/>
  <dc:description>Worked example Word master for Contract Templates. Illustrative wording only.</dc:description>
  <cp:lastModifiedBy>Deep Space</cp:lastModifiedBy>
  <cp:revision>1</cp:revision>
  <dcterms:created xsi:type="dcterms:W3CDTF">2026-10-02T07:12:12Z</dcterms:created>
  <dcterms:modified xsi:type="dcterms:W3CDTF">2026-10-02T07:12:12Z</dcterms:modified>
  <cp:category/>
</cp:coreProperties>
</file>